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3515" w:rsidRPr="00993515" w:rsidRDefault="008F6E27" w:rsidP="00087E82">
      <w:pPr>
        <w:spacing w:after="0" w:line="360" w:lineRule="auto"/>
        <w:jc w:val="center"/>
        <w:rPr>
          <w:rFonts w:ascii="FrankRuehl" w:hAnsi="FrankRuehl" w:cs="FrankRuehl"/>
          <w:b/>
          <w:bCs/>
          <w:sz w:val="28"/>
          <w:szCs w:val="28"/>
          <w:u w:val="single"/>
          <w:rtl/>
        </w:rPr>
      </w:pPr>
      <w:r w:rsidRPr="00993515">
        <w:rPr>
          <w:rFonts w:ascii="FrankRuehl" w:hAnsi="FrankRuehl" w:cs="FrankRuehl"/>
          <w:b/>
          <w:bCs/>
          <w:sz w:val="28"/>
          <w:szCs w:val="28"/>
          <w:u w:val="single"/>
          <w:rtl/>
        </w:rPr>
        <w:t>תקציר פסק די</w:t>
      </w:r>
      <w:r w:rsidR="007D775F" w:rsidRPr="00993515">
        <w:rPr>
          <w:rFonts w:ascii="FrankRuehl" w:hAnsi="FrankRuehl" w:cs="FrankRuehl" w:hint="cs"/>
          <w:b/>
          <w:bCs/>
          <w:sz w:val="28"/>
          <w:szCs w:val="28"/>
          <w:u w:val="single"/>
          <w:rtl/>
        </w:rPr>
        <w:t>ן</w:t>
      </w:r>
    </w:p>
    <w:p w:rsidR="008F6E27" w:rsidRPr="00993515" w:rsidRDefault="007D775F" w:rsidP="00087E82">
      <w:pPr>
        <w:spacing w:after="0" w:line="360" w:lineRule="auto"/>
        <w:jc w:val="center"/>
        <w:rPr>
          <w:rFonts w:ascii="FrankRuehl" w:hAnsi="FrankRuehl" w:cs="FrankRuehl"/>
          <w:b/>
          <w:bCs/>
          <w:sz w:val="28"/>
          <w:szCs w:val="28"/>
          <w:u w:val="single"/>
          <w:rtl/>
        </w:rPr>
      </w:pPr>
      <w:r w:rsidRPr="00993515">
        <w:rPr>
          <w:rFonts w:ascii="FrankRuehl" w:hAnsi="FrankRuehl" w:cs="FrankRuehl"/>
          <w:b/>
          <w:bCs/>
          <w:sz w:val="28"/>
          <w:szCs w:val="28"/>
          <w:u w:val="single"/>
          <w:rtl/>
        </w:rPr>
        <w:t xml:space="preserve"> </w:t>
      </w:r>
      <w:proofErr w:type="spellStart"/>
      <w:r w:rsidRPr="00993515">
        <w:rPr>
          <w:rFonts w:ascii="FrankRuehl" w:hAnsi="FrankRuehl" w:cs="FrankRuehl"/>
          <w:b/>
          <w:bCs/>
          <w:sz w:val="28"/>
          <w:szCs w:val="28"/>
          <w:u w:val="single"/>
          <w:rtl/>
        </w:rPr>
        <w:t>עמ"ש</w:t>
      </w:r>
      <w:proofErr w:type="spellEnd"/>
      <w:r w:rsidRPr="00993515">
        <w:rPr>
          <w:rFonts w:ascii="FrankRuehl" w:hAnsi="FrankRuehl" w:cs="FrankRuehl"/>
          <w:b/>
          <w:bCs/>
          <w:sz w:val="28"/>
          <w:szCs w:val="28"/>
          <w:u w:val="single"/>
          <w:rtl/>
        </w:rPr>
        <w:t xml:space="preserve"> 26304-07-23</w:t>
      </w:r>
      <w:r w:rsidR="00993515">
        <w:rPr>
          <w:rFonts w:ascii="FrankRuehl" w:hAnsi="FrankRuehl" w:cs="FrankRuehl" w:hint="cs"/>
          <w:b/>
          <w:bCs/>
          <w:sz w:val="28"/>
          <w:szCs w:val="28"/>
          <w:u w:val="single"/>
          <w:rtl/>
        </w:rPr>
        <w:t xml:space="preserve"> </w:t>
      </w:r>
      <w:r w:rsidR="008F6E27" w:rsidRPr="00993515">
        <w:rPr>
          <w:rFonts w:ascii="FrankRuehl" w:hAnsi="FrankRuehl" w:cs="FrankRuehl"/>
          <w:b/>
          <w:bCs/>
          <w:sz w:val="28"/>
          <w:szCs w:val="28"/>
          <w:u w:val="single"/>
          <w:rtl/>
        </w:rPr>
        <w:t>אלמונית ואח' נ פלונית ואח'</w:t>
      </w:r>
    </w:p>
    <w:p w:rsidR="008F6E27" w:rsidRPr="00993515" w:rsidRDefault="008F6E27" w:rsidP="00993515">
      <w:pPr>
        <w:spacing w:after="0" w:line="360" w:lineRule="auto"/>
        <w:jc w:val="center"/>
        <w:rPr>
          <w:rFonts w:ascii="FrankRuehl" w:hAnsi="FrankRuehl" w:cs="FrankRuehl"/>
          <w:sz w:val="28"/>
          <w:szCs w:val="28"/>
          <w:rtl/>
        </w:rPr>
      </w:pPr>
      <w:r w:rsidRPr="00993515">
        <w:rPr>
          <w:rFonts w:ascii="FrankRuehl" w:hAnsi="FrankRuehl" w:cs="FrankRuehl"/>
          <w:b/>
          <w:bCs/>
          <w:sz w:val="28"/>
          <w:szCs w:val="28"/>
          <w:u w:val="single"/>
          <w:rtl/>
        </w:rPr>
        <w:t xml:space="preserve">הרכב </w:t>
      </w:r>
      <w:r w:rsidR="007D775F" w:rsidRPr="00993515">
        <w:rPr>
          <w:rFonts w:ascii="FrankRuehl" w:hAnsi="FrankRuehl" w:cs="FrankRuehl" w:hint="cs"/>
          <w:b/>
          <w:bCs/>
          <w:sz w:val="28"/>
          <w:szCs w:val="28"/>
          <w:u w:val="single"/>
          <w:rtl/>
        </w:rPr>
        <w:t>השופטים: אב"ד</w:t>
      </w:r>
      <w:r w:rsidR="00993515">
        <w:rPr>
          <w:rFonts w:ascii="FrankRuehl" w:hAnsi="FrankRuehl" w:cs="FrankRuehl"/>
          <w:b/>
          <w:bCs/>
          <w:sz w:val="28"/>
          <w:szCs w:val="28"/>
          <w:u w:val="single"/>
          <w:rtl/>
        </w:rPr>
        <w:t xml:space="preserve"> </w:t>
      </w:r>
      <w:proofErr w:type="spellStart"/>
      <w:r w:rsidR="00993515">
        <w:rPr>
          <w:rFonts w:ascii="FrankRuehl" w:hAnsi="FrankRuehl" w:cs="FrankRuehl"/>
          <w:b/>
          <w:bCs/>
          <w:sz w:val="28"/>
          <w:szCs w:val="28"/>
          <w:u w:val="single"/>
          <w:rtl/>
        </w:rPr>
        <w:t>סגה"נ</w:t>
      </w:r>
      <w:proofErr w:type="spellEnd"/>
      <w:r w:rsidR="00993515">
        <w:rPr>
          <w:rFonts w:ascii="FrankRuehl" w:hAnsi="FrankRuehl" w:cs="FrankRuehl"/>
          <w:b/>
          <w:bCs/>
          <w:sz w:val="28"/>
          <w:szCs w:val="28"/>
          <w:u w:val="single"/>
          <w:rtl/>
        </w:rPr>
        <w:t xml:space="preserve"> </w:t>
      </w:r>
      <w:proofErr w:type="spellStart"/>
      <w:r w:rsidR="00993515">
        <w:rPr>
          <w:rFonts w:ascii="FrankRuehl" w:hAnsi="FrankRuehl" w:cs="FrankRuehl"/>
          <w:b/>
          <w:bCs/>
          <w:sz w:val="28"/>
          <w:szCs w:val="28"/>
          <w:u w:val="single"/>
          <w:rtl/>
        </w:rPr>
        <w:t>הש</w:t>
      </w:r>
      <w:proofErr w:type="spellEnd"/>
      <w:r w:rsidR="00993515">
        <w:rPr>
          <w:rFonts w:ascii="FrankRuehl" w:hAnsi="FrankRuehl" w:cs="FrankRuehl" w:hint="cs"/>
          <w:b/>
          <w:bCs/>
          <w:sz w:val="28"/>
          <w:szCs w:val="28"/>
          <w:u w:val="single"/>
          <w:rtl/>
        </w:rPr>
        <w:t>'</w:t>
      </w:r>
      <w:r w:rsidR="00B97480" w:rsidRPr="00993515">
        <w:rPr>
          <w:rFonts w:ascii="FrankRuehl" w:hAnsi="FrankRuehl" w:cs="FrankRuehl"/>
          <w:b/>
          <w:bCs/>
          <w:sz w:val="28"/>
          <w:szCs w:val="28"/>
          <w:u w:val="single"/>
          <w:rtl/>
        </w:rPr>
        <w:t xml:space="preserve"> ורדה פלאוט, </w:t>
      </w:r>
      <w:proofErr w:type="spellStart"/>
      <w:r w:rsidR="00B97480" w:rsidRPr="00993515">
        <w:rPr>
          <w:rFonts w:ascii="FrankRuehl" w:hAnsi="FrankRuehl" w:cs="FrankRuehl"/>
          <w:b/>
          <w:bCs/>
          <w:sz w:val="28"/>
          <w:szCs w:val="28"/>
          <w:u w:val="single"/>
          <w:rtl/>
        </w:rPr>
        <w:t>הש</w:t>
      </w:r>
      <w:proofErr w:type="spellEnd"/>
      <w:r w:rsidR="00993515">
        <w:rPr>
          <w:rFonts w:ascii="FrankRuehl" w:hAnsi="FrankRuehl" w:cs="FrankRuehl" w:hint="cs"/>
          <w:b/>
          <w:bCs/>
          <w:sz w:val="28"/>
          <w:szCs w:val="28"/>
          <w:u w:val="single"/>
          <w:rtl/>
        </w:rPr>
        <w:t>'</w:t>
      </w:r>
      <w:r w:rsidR="00993515">
        <w:rPr>
          <w:rFonts w:ascii="FrankRuehl" w:hAnsi="FrankRuehl" w:cs="FrankRuehl"/>
          <w:b/>
          <w:bCs/>
          <w:sz w:val="28"/>
          <w:szCs w:val="28"/>
          <w:u w:val="single"/>
          <w:rtl/>
        </w:rPr>
        <w:t xml:space="preserve"> צבי ויצמן</w:t>
      </w:r>
      <w:r w:rsidR="00993515">
        <w:rPr>
          <w:rFonts w:ascii="FrankRuehl" w:hAnsi="FrankRuehl" w:cs="FrankRuehl" w:hint="cs"/>
          <w:b/>
          <w:bCs/>
          <w:sz w:val="28"/>
          <w:szCs w:val="28"/>
          <w:u w:val="single"/>
          <w:rtl/>
        </w:rPr>
        <w:t>,</w:t>
      </w:r>
      <w:r w:rsidR="00993515">
        <w:rPr>
          <w:rFonts w:ascii="FrankRuehl" w:hAnsi="FrankRuehl" w:cs="FrankRuehl"/>
          <w:b/>
          <w:bCs/>
          <w:sz w:val="28"/>
          <w:szCs w:val="28"/>
          <w:u w:val="single"/>
          <w:rtl/>
        </w:rPr>
        <w:t xml:space="preserve"> </w:t>
      </w:r>
      <w:proofErr w:type="spellStart"/>
      <w:r w:rsidR="00993515">
        <w:rPr>
          <w:rFonts w:ascii="FrankRuehl" w:hAnsi="FrankRuehl" w:cs="FrankRuehl"/>
          <w:b/>
          <w:bCs/>
          <w:sz w:val="28"/>
          <w:szCs w:val="28"/>
          <w:u w:val="single"/>
          <w:rtl/>
        </w:rPr>
        <w:t>הש</w:t>
      </w:r>
      <w:proofErr w:type="spellEnd"/>
      <w:r w:rsidR="00993515">
        <w:rPr>
          <w:rFonts w:ascii="FrankRuehl" w:hAnsi="FrankRuehl" w:cs="FrankRuehl" w:hint="cs"/>
          <w:b/>
          <w:bCs/>
          <w:sz w:val="28"/>
          <w:szCs w:val="28"/>
          <w:u w:val="single"/>
          <w:rtl/>
        </w:rPr>
        <w:t>'</w:t>
      </w:r>
      <w:r w:rsidRPr="00993515">
        <w:rPr>
          <w:rFonts w:ascii="FrankRuehl" w:hAnsi="FrankRuehl" w:cs="FrankRuehl"/>
          <w:b/>
          <w:bCs/>
          <w:sz w:val="28"/>
          <w:szCs w:val="28"/>
          <w:u w:val="single"/>
          <w:rtl/>
        </w:rPr>
        <w:t xml:space="preserve"> צבייה </w:t>
      </w:r>
      <w:proofErr w:type="spellStart"/>
      <w:r w:rsidRPr="00993515">
        <w:rPr>
          <w:rFonts w:ascii="FrankRuehl" w:hAnsi="FrankRuehl" w:cs="FrankRuehl"/>
          <w:b/>
          <w:bCs/>
          <w:sz w:val="28"/>
          <w:szCs w:val="28"/>
          <w:u w:val="single"/>
          <w:rtl/>
        </w:rPr>
        <w:t>גרדשטיין</w:t>
      </w:r>
      <w:proofErr w:type="spellEnd"/>
      <w:r w:rsidRPr="00993515">
        <w:rPr>
          <w:rFonts w:ascii="FrankRuehl" w:hAnsi="FrankRuehl" w:cs="FrankRuehl"/>
          <w:b/>
          <w:bCs/>
          <w:sz w:val="28"/>
          <w:szCs w:val="28"/>
          <w:u w:val="single"/>
          <w:rtl/>
        </w:rPr>
        <w:t xml:space="preserve"> </w:t>
      </w:r>
      <w:proofErr w:type="spellStart"/>
      <w:r w:rsidRPr="00993515">
        <w:rPr>
          <w:rFonts w:ascii="FrankRuehl" w:hAnsi="FrankRuehl" w:cs="FrankRuehl"/>
          <w:b/>
          <w:bCs/>
          <w:sz w:val="28"/>
          <w:szCs w:val="28"/>
          <w:u w:val="single"/>
          <w:rtl/>
        </w:rPr>
        <w:t>פפקין</w:t>
      </w:r>
      <w:proofErr w:type="spellEnd"/>
    </w:p>
    <w:p w:rsidR="00993515" w:rsidRDefault="00087E82" w:rsidP="00993515">
      <w:pPr>
        <w:spacing w:after="0" w:line="360" w:lineRule="auto"/>
        <w:jc w:val="both"/>
        <w:rPr>
          <w:rFonts w:ascii="FrankRuehl" w:hAnsi="FrankRuehl" w:cs="FrankRuehl"/>
          <w:sz w:val="24"/>
          <w:szCs w:val="24"/>
          <w:rtl/>
        </w:rPr>
      </w:pPr>
      <w:r>
        <w:rPr>
          <w:rFonts w:ascii="FrankRuehl" w:hAnsi="FrankRuehl" w:cs="FrankRuehl" w:hint="cs"/>
          <w:sz w:val="24"/>
          <w:szCs w:val="24"/>
          <w:rtl/>
        </w:rPr>
        <w:t xml:space="preserve">בהליך נוסף הנוגע לפרשת החלפת העוברים בבית החולים אסותא ראשון לציון אישר  </w:t>
      </w:r>
      <w:r w:rsidR="008F6E27" w:rsidRPr="00087E82">
        <w:rPr>
          <w:rFonts w:ascii="FrankRuehl" w:hAnsi="FrankRuehl" w:cs="FrankRuehl"/>
          <w:sz w:val="24"/>
          <w:szCs w:val="24"/>
          <w:rtl/>
        </w:rPr>
        <w:t>בית המשפט</w:t>
      </w:r>
      <w:r w:rsidR="00E7284B" w:rsidRPr="00087E82">
        <w:rPr>
          <w:rFonts w:ascii="FrankRuehl" w:hAnsi="FrankRuehl" w:cs="FrankRuehl"/>
          <w:sz w:val="24"/>
          <w:szCs w:val="24"/>
          <w:rtl/>
        </w:rPr>
        <w:t xml:space="preserve"> המחוזי מרכז- לוד</w:t>
      </w:r>
      <w:r w:rsidR="008F6E27" w:rsidRPr="00087E82">
        <w:rPr>
          <w:rFonts w:ascii="FrankRuehl" w:hAnsi="FrankRuehl" w:cs="FrankRuehl"/>
          <w:sz w:val="24"/>
          <w:szCs w:val="24"/>
          <w:rtl/>
        </w:rPr>
        <w:t xml:space="preserve">  פה אחד למשיבים</w:t>
      </w:r>
      <w:r w:rsidR="00B97480" w:rsidRPr="00087E82">
        <w:rPr>
          <w:rFonts w:ascii="FrankRuehl" w:hAnsi="FrankRuehl" w:cs="FrankRuehl"/>
          <w:sz w:val="24"/>
          <w:szCs w:val="24"/>
          <w:rtl/>
        </w:rPr>
        <w:t xml:space="preserve"> (בני הזוג שאינם היולדת ובן זוגה)</w:t>
      </w:r>
      <w:r w:rsidR="008F6E27" w:rsidRPr="00087E82">
        <w:rPr>
          <w:rFonts w:ascii="FrankRuehl" w:hAnsi="FrankRuehl" w:cs="FrankRuehl"/>
          <w:sz w:val="24"/>
          <w:szCs w:val="24"/>
          <w:rtl/>
        </w:rPr>
        <w:t xml:space="preserve"> לערוך בדי</w:t>
      </w:r>
      <w:r w:rsidR="00B97480" w:rsidRPr="00087E82">
        <w:rPr>
          <w:rFonts w:ascii="FrankRuehl" w:hAnsi="FrankRuehl" w:cs="FrankRuehl"/>
          <w:sz w:val="24"/>
          <w:szCs w:val="24"/>
          <w:rtl/>
        </w:rPr>
        <w:t>קה גנטית לקשרי משפחה בינם</w:t>
      </w:r>
      <w:r w:rsidR="008F6E27" w:rsidRPr="00087E82">
        <w:rPr>
          <w:rFonts w:ascii="FrankRuehl" w:hAnsi="FrankRuehl" w:cs="FrankRuehl"/>
          <w:sz w:val="24"/>
          <w:szCs w:val="24"/>
          <w:rtl/>
        </w:rPr>
        <w:t xml:space="preserve"> לבין התינוקת ס' שנולדה ביום 26.10.22 למערערת ולבן זוגה, והרשומה כיום כבתם</w:t>
      </w:r>
      <w:r w:rsidR="00B97480" w:rsidRPr="00087E82">
        <w:rPr>
          <w:rFonts w:ascii="FrankRuehl" w:hAnsi="FrankRuehl" w:cs="FrankRuehl"/>
          <w:sz w:val="24"/>
          <w:szCs w:val="24"/>
          <w:rtl/>
        </w:rPr>
        <w:t xml:space="preserve"> (הם המערערים)</w:t>
      </w:r>
      <w:r>
        <w:rPr>
          <w:rFonts w:ascii="FrankRuehl" w:hAnsi="FrankRuehl" w:cs="FrankRuehl" w:hint="cs"/>
          <w:sz w:val="24"/>
          <w:szCs w:val="24"/>
          <w:rtl/>
        </w:rPr>
        <w:t xml:space="preserve"> ובכך דחה את ערעורם על פסק דינו של בית המשפט לענייני משפחה</w:t>
      </w:r>
      <w:r w:rsidR="008F6E27" w:rsidRPr="00087E82">
        <w:rPr>
          <w:rFonts w:ascii="FrankRuehl" w:hAnsi="FrankRuehl" w:cs="FrankRuehl"/>
          <w:sz w:val="24"/>
          <w:szCs w:val="24"/>
          <w:rtl/>
        </w:rPr>
        <w:t>.</w:t>
      </w:r>
      <w:r w:rsidR="007C6202" w:rsidRPr="00087E82">
        <w:rPr>
          <w:rFonts w:ascii="FrankRuehl" w:hAnsi="FrankRuehl" w:cs="FrankRuehl"/>
          <w:sz w:val="24"/>
          <w:szCs w:val="24"/>
          <w:rtl/>
        </w:rPr>
        <w:t xml:space="preserve"> </w:t>
      </w:r>
    </w:p>
    <w:p w:rsidR="008F6E27" w:rsidRPr="00087E82" w:rsidRDefault="007C6202" w:rsidP="00993515">
      <w:pPr>
        <w:spacing w:after="0" w:line="360" w:lineRule="auto"/>
        <w:jc w:val="both"/>
        <w:rPr>
          <w:rFonts w:ascii="FrankRuehl" w:hAnsi="FrankRuehl" w:cs="FrankRuehl"/>
          <w:sz w:val="24"/>
          <w:szCs w:val="24"/>
          <w:rtl/>
        </w:rPr>
      </w:pPr>
      <w:r w:rsidRPr="00087E82">
        <w:rPr>
          <w:rFonts w:ascii="FrankRuehl" w:hAnsi="FrankRuehl" w:cs="FrankRuehl" w:hint="eastAsia"/>
          <w:sz w:val="24"/>
          <w:szCs w:val="24"/>
          <w:rtl/>
        </w:rPr>
        <w:t>ראשיתה</w:t>
      </w:r>
      <w:r w:rsidRPr="00087E82">
        <w:rPr>
          <w:rFonts w:ascii="FrankRuehl" w:hAnsi="FrankRuehl" w:cs="FrankRuehl"/>
          <w:sz w:val="24"/>
          <w:szCs w:val="24"/>
          <w:rtl/>
        </w:rPr>
        <w:t xml:space="preserve"> של המסכת העובדתית </w:t>
      </w:r>
      <w:r w:rsidR="008F6E27" w:rsidRPr="00087E82">
        <w:rPr>
          <w:rFonts w:ascii="FrankRuehl" w:hAnsi="FrankRuehl" w:cs="FrankRuehl"/>
          <w:sz w:val="24"/>
          <w:szCs w:val="24"/>
          <w:rtl/>
        </w:rPr>
        <w:t xml:space="preserve">בגילוי לפיו </w:t>
      </w:r>
      <w:r w:rsidRPr="00087E82">
        <w:rPr>
          <w:rFonts w:ascii="FrankRuehl" w:hAnsi="FrankRuehl" w:cs="FrankRuehl" w:hint="eastAsia"/>
          <w:sz w:val="24"/>
          <w:szCs w:val="24"/>
          <w:rtl/>
        </w:rPr>
        <w:t>אין</w:t>
      </w:r>
      <w:r w:rsidRPr="00087E82">
        <w:rPr>
          <w:rFonts w:ascii="FrankRuehl" w:hAnsi="FrankRuehl" w:cs="FrankRuehl"/>
          <w:sz w:val="24"/>
          <w:szCs w:val="24"/>
          <w:rtl/>
        </w:rPr>
        <w:t xml:space="preserve"> </w:t>
      </w:r>
      <w:r w:rsidRPr="00087E82">
        <w:rPr>
          <w:rFonts w:ascii="FrankRuehl" w:hAnsi="FrankRuehl" w:cs="FrankRuehl" w:hint="eastAsia"/>
          <w:sz w:val="24"/>
          <w:szCs w:val="24"/>
          <w:rtl/>
        </w:rPr>
        <w:t>התאמה</w:t>
      </w:r>
      <w:r w:rsidRPr="00087E82">
        <w:rPr>
          <w:rFonts w:ascii="FrankRuehl" w:hAnsi="FrankRuehl" w:cs="FrankRuehl"/>
          <w:sz w:val="24"/>
          <w:szCs w:val="24"/>
          <w:rtl/>
        </w:rPr>
        <w:t xml:space="preserve"> </w:t>
      </w:r>
      <w:r w:rsidRPr="00087E82">
        <w:rPr>
          <w:rFonts w:ascii="FrankRuehl" w:hAnsi="FrankRuehl" w:cs="FrankRuehl" w:hint="eastAsia"/>
          <w:sz w:val="24"/>
          <w:szCs w:val="24"/>
          <w:rtl/>
        </w:rPr>
        <w:t>גנטית</w:t>
      </w:r>
      <w:r w:rsidRPr="00087E82">
        <w:rPr>
          <w:rFonts w:ascii="FrankRuehl" w:hAnsi="FrankRuehl" w:cs="FrankRuehl"/>
          <w:sz w:val="24"/>
          <w:szCs w:val="24"/>
          <w:rtl/>
        </w:rPr>
        <w:t xml:space="preserve"> בין </w:t>
      </w:r>
      <w:r w:rsidR="008F6E27" w:rsidRPr="00087E82">
        <w:rPr>
          <w:rFonts w:ascii="FrankRuehl" w:hAnsi="FrankRuehl" w:cs="FrankRuehl"/>
          <w:sz w:val="24"/>
          <w:szCs w:val="24"/>
          <w:rtl/>
        </w:rPr>
        <w:t>העובר שנשאה ברחמה המערערת</w:t>
      </w:r>
      <w:r w:rsidRPr="00087E82">
        <w:rPr>
          <w:rFonts w:ascii="FrankRuehl" w:hAnsi="FrankRuehl" w:cs="FrankRuehl"/>
          <w:sz w:val="24"/>
          <w:szCs w:val="24"/>
          <w:rtl/>
        </w:rPr>
        <w:t xml:space="preserve">, ממטופלות מחלקת </w:t>
      </w:r>
      <w:proofErr w:type="spellStart"/>
      <w:r w:rsidRPr="00087E82">
        <w:rPr>
          <w:rFonts w:ascii="FrankRuehl" w:hAnsi="FrankRuehl" w:cs="FrankRuehl" w:hint="eastAsia"/>
          <w:sz w:val="24"/>
          <w:szCs w:val="24"/>
          <w:rtl/>
        </w:rPr>
        <w:t>ההפרייה</w:t>
      </w:r>
      <w:proofErr w:type="spellEnd"/>
      <w:r w:rsidRPr="00087E82">
        <w:rPr>
          <w:rFonts w:ascii="FrankRuehl" w:hAnsi="FrankRuehl" w:cs="FrankRuehl"/>
          <w:sz w:val="24"/>
          <w:szCs w:val="24"/>
          <w:rtl/>
        </w:rPr>
        <w:t xml:space="preserve"> החוץ גופית בבית החולים אסותא</w:t>
      </w:r>
      <w:r w:rsidR="00E7284B" w:rsidRPr="00087E82">
        <w:rPr>
          <w:rFonts w:ascii="FrankRuehl" w:hAnsi="FrankRuehl" w:cs="FrankRuehl"/>
          <w:sz w:val="24"/>
          <w:szCs w:val="24"/>
          <w:rtl/>
        </w:rPr>
        <w:t xml:space="preserve"> ראשל"צ</w:t>
      </w:r>
      <w:r w:rsidR="008F6E27" w:rsidRPr="00087E82">
        <w:rPr>
          <w:rFonts w:ascii="FrankRuehl" w:hAnsi="FrankRuehl" w:cs="FrankRuehl"/>
          <w:sz w:val="24"/>
          <w:szCs w:val="24"/>
          <w:rtl/>
        </w:rPr>
        <w:t xml:space="preserve">, </w:t>
      </w:r>
      <w:r w:rsidRPr="00087E82">
        <w:rPr>
          <w:rFonts w:ascii="FrankRuehl" w:hAnsi="FrankRuehl" w:cs="FrankRuehl" w:hint="eastAsia"/>
          <w:sz w:val="24"/>
          <w:szCs w:val="24"/>
          <w:rtl/>
        </w:rPr>
        <w:t>למערערת</w:t>
      </w:r>
      <w:r w:rsidRPr="00087E82">
        <w:rPr>
          <w:rFonts w:ascii="FrankRuehl" w:hAnsi="FrankRuehl" w:cs="FrankRuehl"/>
          <w:sz w:val="24"/>
          <w:szCs w:val="24"/>
          <w:rtl/>
        </w:rPr>
        <w:t xml:space="preserve"> ובן זוגה.  </w:t>
      </w:r>
    </w:p>
    <w:p w:rsidR="008F6E27" w:rsidRPr="00087E82" w:rsidRDefault="00B97480" w:rsidP="00087E82">
      <w:pPr>
        <w:spacing w:after="0" w:line="360" w:lineRule="auto"/>
        <w:jc w:val="both"/>
        <w:rPr>
          <w:rFonts w:ascii="FrankRuehl" w:hAnsi="FrankRuehl" w:cs="FrankRuehl"/>
          <w:sz w:val="24"/>
          <w:szCs w:val="24"/>
          <w:rtl/>
        </w:rPr>
      </w:pPr>
      <w:r w:rsidRPr="00087E82">
        <w:rPr>
          <w:rFonts w:ascii="FrankRuehl" w:hAnsi="FrankRuehl" w:cs="FrankRuehl"/>
          <w:sz w:val="24"/>
          <w:szCs w:val="24"/>
          <w:rtl/>
        </w:rPr>
        <w:t>עוד טרם הלידה</w:t>
      </w:r>
      <w:r w:rsidR="00087E82">
        <w:rPr>
          <w:rFonts w:ascii="FrankRuehl" w:hAnsi="FrankRuehl" w:cs="FrankRuehl" w:hint="cs"/>
          <w:sz w:val="24"/>
          <w:szCs w:val="24"/>
          <w:rtl/>
        </w:rPr>
        <w:t xml:space="preserve"> </w:t>
      </w:r>
      <w:r w:rsidR="007C6202" w:rsidRPr="00087E82">
        <w:rPr>
          <w:rFonts w:ascii="FrankRuehl" w:hAnsi="FrankRuehl" w:cs="FrankRuehl" w:hint="eastAsia"/>
          <w:sz w:val="24"/>
          <w:szCs w:val="24"/>
          <w:rtl/>
        </w:rPr>
        <w:t>צוות</w:t>
      </w:r>
      <w:r w:rsidR="007C6202" w:rsidRPr="00087E82">
        <w:rPr>
          <w:rFonts w:ascii="FrankRuehl" w:hAnsi="FrankRuehl" w:cs="FrankRuehl"/>
          <w:sz w:val="24"/>
          <w:szCs w:val="24"/>
          <w:rtl/>
        </w:rPr>
        <w:t xml:space="preserve"> בודק שהוקם מטעם אסותא </w:t>
      </w:r>
      <w:r w:rsidR="008F6E27" w:rsidRPr="00087E82">
        <w:rPr>
          <w:rFonts w:ascii="FrankRuehl" w:hAnsi="FrankRuehl" w:cs="FrankRuehl"/>
          <w:sz w:val="24"/>
          <w:szCs w:val="24"/>
          <w:rtl/>
        </w:rPr>
        <w:t xml:space="preserve">לבדיקת מקור הטעות </w:t>
      </w:r>
      <w:r w:rsidR="007C6202" w:rsidRPr="00087E82">
        <w:rPr>
          <w:rFonts w:ascii="FrankRuehl" w:hAnsi="FrankRuehl" w:cs="FrankRuehl" w:hint="eastAsia"/>
          <w:sz w:val="24"/>
          <w:szCs w:val="24"/>
          <w:rtl/>
        </w:rPr>
        <w:t>מצא</w:t>
      </w:r>
      <w:r w:rsidR="007C6202" w:rsidRPr="00087E82">
        <w:rPr>
          <w:rFonts w:ascii="FrankRuehl" w:hAnsi="FrankRuehl" w:cs="FrankRuehl"/>
          <w:sz w:val="24"/>
          <w:szCs w:val="24"/>
          <w:rtl/>
        </w:rPr>
        <w:t xml:space="preserve"> </w:t>
      </w:r>
      <w:r w:rsidR="008F6E27" w:rsidRPr="00087E82">
        <w:rPr>
          <w:rFonts w:ascii="FrankRuehl" w:hAnsi="FrankRuehl" w:cs="FrankRuehl"/>
          <w:sz w:val="24"/>
          <w:szCs w:val="24"/>
          <w:rtl/>
        </w:rPr>
        <w:t>כי מטופלת אחרת הי</w:t>
      </w:r>
      <w:r w:rsidR="007C6202" w:rsidRPr="00087E82">
        <w:rPr>
          <w:rFonts w:ascii="FrankRuehl" w:hAnsi="FrankRuehl" w:cs="FrankRuehl" w:hint="eastAsia"/>
          <w:sz w:val="24"/>
          <w:szCs w:val="24"/>
          <w:rtl/>
        </w:rPr>
        <w:t>א</w:t>
      </w:r>
      <w:r w:rsidR="008F6E27" w:rsidRPr="00087E82">
        <w:rPr>
          <w:rFonts w:ascii="FrankRuehl" w:hAnsi="FrankRuehl" w:cs="FrankRuehl"/>
          <w:sz w:val="24"/>
          <w:szCs w:val="24"/>
          <w:rtl/>
        </w:rPr>
        <w:t xml:space="preserve"> </w:t>
      </w:r>
      <w:r w:rsidR="007C6202" w:rsidRPr="00087E82">
        <w:rPr>
          <w:rFonts w:ascii="FrankRuehl" w:hAnsi="FrankRuehl" w:cs="FrankRuehl" w:hint="eastAsia"/>
          <w:sz w:val="24"/>
          <w:szCs w:val="24"/>
          <w:rtl/>
        </w:rPr>
        <w:t>בסבירות</w:t>
      </w:r>
      <w:r w:rsidR="007C6202" w:rsidRPr="00087E82">
        <w:rPr>
          <w:rFonts w:ascii="FrankRuehl" w:hAnsi="FrankRuehl" w:cs="FrankRuehl"/>
          <w:sz w:val="24"/>
          <w:szCs w:val="24"/>
          <w:rtl/>
        </w:rPr>
        <w:t xml:space="preserve"> גבוהה </w:t>
      </w:r>
      <w:r w:rsidR="008F6E27" w:rsidRPr="00087E82">
        <w:rPr>
          <w:rFonts w:ascii="FrankRuehl" w:hAnsi="FrankRuehl" w:cs="FrankRuehl"/>
          <w:sz w:val="24"/>
          <w:szCs w:val="24"/>
          <w:rtl/>
        </w:rPr>
        <w:t>האם הגנטית, ולאחר הליך משפטי אושרה הבדיקה ואולם נמצא כי מטופלת זו אינה בעלת קשר גנטי לתינוקת.</w:t>
      </w:r>
    </w:p>
    <w:p w:rsidR="008F6E27" w:rsidRPr="00087E82" w:rsidRDefault="00E7284B" w:rsidP="00087E82">
      <w:pPr>
        <w:spacing w:after="0" w:line="360" w:lineRule="auto"/>
        <w:jc w:val="both"/>
        <w:rPr>
          <w:rFonts w:ascii="FrankRuehl" w:hAnsi="FrankRuehl" w:cs="FrankRuehl"/>
          <w:sz w:val="24"/>
          <w:szCs w:val="24"/>
          <w:rtl/>
        </w:rPr>
      </w:pPr>
      <w:r w:rsidRPr="00087E82">
        <w:rPr>
          <w:rFonts w:ascii="FrankRuehl" w:hAnsi="FrankRuehl" w:cs="FrankRuehl" w:hint="eastAsia"/>
          <w:sz w:val="24"/>
          <w:szCs w:val="24"/>
          <w:rtl/>
        </w:rPr>
        <w:t>לפיכך</w:t>
      </w:r>
      <w:r w:rsidR="007C6202" w:rsidRPr="00087E82">
        <w:rPr>
          <w:rFonts w:ascii="FrankRuehl" w:hAnsi="FrankRuehl" w:cs="FrankRuehl"/>
          <w:sz w:val="24"/>
          <w:szCs w:val="24"/>
          <w:rtl/>
        </w:rPr>
        <w:t xml:space="preserve"> הוקם צוות בודק חדש על ידי אסותא, אליו </w:t>
      </w:r>
      <w:r w:rsidR="008F6E27" w:rsidRPr="00087E82">
        <w:rPr>
          <w:rFonts w:ascii="FrankRuehl" w:hAnsi="FrankRuehl" w:cs="FrankRuehl"/>
          <w:sz w:val="24"/>
          <w:szCs w:val="24"/>
          <w:rtl/>
        </w:rPr>
        <w:t xml:space="preserve">הצטרף פרופסור גמזו, </w:t>
      </w:r>
      <w:r w:rsidR="007C6202" w:rsidRPr="00087E82">
        <w:rPr>
          <w:rFonts w:ascii="FrankRuehl" w:hAnsi="FrankRuehl" w:cs="FrankRuehl" w:hint="eastAsia"/>
          <w:sz w:val="24"/>
          <w:szCs w:val="24"/>
          <w:rtl/>
        </w:rPr>
        <w:t>ואשר</w:t>
      </w:r>
      <w:r w:rsidR="007C6202" w:rsidRPr="00087E82">
        <w:rPr>
          <w:rFonts w:ascii="FrankRuehl" w:hAnsi="FrankRuehl" w:cs="FrankRuehl"/>
          <w:sz w:val="24"/>
          <w:szCs w:val="24"/>
          <w:rtl/>
        </w:rPr>
        <w:t xml:space="preserve"> הצביע על קבוצה של 22 מטופלות </w:t>
      </w:r>
      <w:r w:rsidR="008F6E27" w:rsidRPr="00087E82">
        <w:rPr>
          <w:rFonts w:ascii="FrankRuehl" w:hAnsi="FrankRuehl" w:cs="FrankRuehl"/>
          <w:sz w:val="24"/>
          <w:szCs w:val="24"/>
          <w:rtl/>
        </w:rPr>
        <w:t xml:space="preserve">כעל בעלות קשר גנטי אפשרי לתינוקת, </w:t>
      </w:r>
      <w:r w:rsidR="007C6202" w:rsidRPr="00087E82">
        <w:rPr>
          <w:rFonts w:ascii="FrankRuehl" w:hAnsi="FrankRuehl" w:cs="FrankRuehl" w:hint="eastAsia"/>
          <w:sz w:val="24"/>
          <w:szCs w:val="24"/>
          <w:rtl/>
        </w:rPr>
        <w:t>כאשר</w:t>
      </w:r>
      <w:r w:rsidR="007C6202" w:rsidRPr="00087E82">
        <w:rPr>
          <w:rFonts w:ascii="FrankRuehl" w:hAnsi="FrankRuehl" w:cs="FrankRuehl"/>
          <w:sz w:val="24"/>
          <w:szCs w:val="24"/>
          <w:rtl/>
        </w:rPr>
        <w:t xml:space="preserve"> </w:t>
      </w:r>
      <w:r w:rsidR="007C6202" w:rsidRPr="00087E82">
        <w:rPr>
          <w:rFonts w:ascii="FrankRuehl" w:hAnsi="FrankRuehl" w:cs="FrankRuehl" w:hint="eastAsia"/>
          <w:sz w:val="24"/>
          <w:szCs w:val="24"/>
          <w:rtl/>
        </w:rPr>
        <w:t>חלקן</w:t>
      </w:r>
      <w:r w:rsidR="007C6202" w:rsidRPr="00087E82">
        <w:rPr>
          <w:rFonts w:ascii="FrankRuehl" w:hAnsi="FrankRuehl" w:cs="FrankRuehl"/>
          <w:sz w:val="24"/>
          <w:szCs w:val="24"/>
          <w:rtl/>
        </w:rPr>
        <w:t xml:space="preserve">, </w:t>
      </w:r>
      <w:r w:rsidR="007C6202" w:rsidRPr="00087E82">
        <w:rPr>
          <w:rFonts w:ascii="FrankRuehl" w:hAnsi="FrankRuehl" w:cs="FrankRuehl" w:hint="eastAsia"/>
          <w:sz w:val="24"/>
          <w:szCs w:val="24"/>
          <w:rtl/>
        </w:rPr>
        <w:t>ובכללן</w:t>
      </w:r>
      <w:r w:rsidR="007C6202" w:rsidRPr="00087E82">
        <w:rPr>
          <w:rFonts w:ascii="FrankRuehl" w:hAnsi="FrankRuehl" w:cs="FrankRuehl"/>
          <w:sz w:val="24"/>
          <w:szCs w:val="24"/>
          <w:rtl/>
        </w:rPr>
        <w:t xml:space="preserve"> </w:t>
      </w:r>
      <w:r w:rsidR="007C6202" w:rsidRPr="00087E82">
        <w:rPr>
          <w:rFonts w:ascii="FrankRuehl" w:hAnsi="FrankRuehl" w:cs="FrankRuehl" w:hint="eastAsia"/>
          <w:sz w:val="24"/>
          <w:szCs w:val="24"/>
          <w:rtl/>
        </w:rPr>
        <w:t>המשיבה</w:t>
      </w:r>
      <w:r w:rsidR="007C6202" w:rsidRPr="00087E82">
        <w:rPr>
          <w:rFonts w:ascii="FrankRuehl" w:hAnsi="FrankRuehl" w:cs="FrankRuehl"/>
          <w:sz w:val="24"/>
          <w:szCs w:val="24"/>
          <w:rtl/>
        </w:rPr>
        <w:t xml:space="preserve"> </w:t>
      </w:r>
      <w:r w:rsidR="007C6202" w:rsidRPr="00087E82">
        <w:rPr>
          <w:rFonts w:ascii="FrankRuehl" w:hAnsi="FrankRuehl" w:cs="FrankRuehl" w:hint="eastAsia"/>
          <w:sz w:val="24"/>
          <w:szCs w:val="24"/>
          <w:rtl/>
        </w:rPr>
        <w:t>ובן</w:t>
      </w:r>
      <w:r w:rsidR="007C6202" w:rsidRPr="00087E82">
        <w:rPr>
          <w:rFonts w:ascii="FrankRuehl" w:hAnsi="FrankRuehl" w:cs="FrankRuehl"/>
          <w:sz w:val="24"/>
          <w:szCs w:val="24"/>
          <w:rtl/>
        </w:rPr>
        <w:t xml:space="preserve"> </w:t>
      </w:r>
      <w:r w:rsidR="007C6202" w:rsidRPr="00087E82">
        <w:rPr>
          <w:rFonts w:ascii="FrankRuehl" w:hAnsi="FrankRuehl" w:cs="FrankRuehl" w:hint="eastAsia"/>
          <w:sz w:val="24"/>
          <w:szCs w:val="24"/>
          <w:rtl/>
        </w:rPr>
        <w:t>זוגה</w:t>
      </w:r>
      <w:r w:rsidR="007C6202" w:rsidRPr="00087E82">
        <w:rPr>
          <w:rFonts w:ascii="FrankRuehl" w:hAnsi="FrankRuehl" w:cs="FrankRuehl"/>
          <w:sz w:val="24"/>
          <w:szCs w:val="24"/>
          <w:rtl/>
        </w:rPr>
        <w:t xml:space="preserve">, </w:t>
      </w:r>
      <w:r w:rsidR="007C6202" w:rsidRPr="00087E82">
        <w:rPr>
          <w:rFonts w:ascii="FrankRuehl" w:hAnsi="FrankRuehl" w:cs="FrankRuehl" w:hint="eastAsia"/>
          <w:sz w:val="24"/>
          <w:szCs w:val="24"/>
          <w:rtl/>
        </w:rPr>
        <w:t>עתרו</w:t>
      </w:r>
      <w:r w:rsidR="007C6202" w:rsidRPr="00087E82">
        <w:rPr>
          <w:rFonts w:ascii="FrankRuehl" w:hAnsi="FrankRuehl" w:cs="FrankRuehl"/>
          <w:sz w:val="24"/>
          <w:szCs w:val="24"/>
          <w:rtl/>
        </w:rPr>
        <w:t xml:space="preserve"> </w:t>
      </w:r>
      <w:r w:rsidR="007C6202" w:rsidRPr="00087E82">
        <w:rPr>
          <w:rFonts w:ascii="FrankRuehl" w:hAnsi="FrankRuehl" w:cs="FrankRuehl" w:hint="eastAsia"/>
          <w:sz w:val="24"/>
          <w:szCs w:val="24"/>
          <w:rtl/>
        </w:rPr>
        <w:t>לביצוע</w:t>
      </w:r>
      <w:r w:rsidR="007C6202" w:rsidRPr="00087E82">
        <w:rPr>
          <w:rFonts w:ascii="FrankRuehl" w:hAnsi="FrankRuehl" w:cs="FrankRuehl"/>
          <w:sz w:val="24"/>
          <w:szCs w:val="24"/>
          <w:rtl/>
        </w:rPr>
        <w:t xml:space="preserve"> </w:t>
      </w:r>
      <w:r w:rsidR="007C6202" w:rsidRPr="00087E82">
        <w:rPr>
          <w:rFonts w:ascii="FrankRuehl" w:hAnsi="FrankRuehl" w:cs="FrankRuehl" w:hint="eastAsia"/>
          <w:sz w:val="24"/>
          <w:szCs w:val="24"/>
          <w:rtl/>
        </w:rPr>
        <w:t>בדיקה</w:t>
      </w:r>
      <w:r w:rsidR="007C6202" w:rsidRPr="00087E82">
        <w:rPr>
          <w:rFonts w:ascii="FrankRuehl" w:hAnsi="FrankRuehl" w:cs="FrankRuehl"/>
          <w:sz w:val="24"/>
          <w:szCs w:val="24"/>
          <w:rtl/>
        </w:rPr>
        <w:t xml:space="preserve"> </w:t>
      </w:r>
      <w:r w:rsidR="007C6202" w:rsidRPr="00087E82">
        <w:rPr>
          <w:rFonts w:ascii="FrankRuehl" w:hAnsi="FrankRuehl" w:cs="FrankRuehl" w:hint="eastAsia"/>
          <w:sz w:val="24"/>
          <w:szCs w:val="24"/>
          <w:rtl/>
        </w:rPr>
        <w:t>גנטית</w:t>
      </w:r>
      <w:r w:rsidR="007C6202" w:rsidRPr="00087E82">
        <w:rPr>
          <w:rFonts w:ascii="FrankRuehl" w:hAnsi="FrankRuehl" w:cs="FrankRuehl"/>
          <w:sz w:val="24"/>
          <w:szCs w:val="24"/>
          <w:rtl/>
        </w:rPr>
        <w:t xml:space="preserve"> </w:t>
      </w:r>
      <w:r w:rsidR="007C6202" w:rsidRPr="00087E82">
        <w:rPr>
          <w:rFonts w:ascii="FrankRuehl" w:hAnsi="FrankRuehl" w:cs="FrankRuehl" w:hint="eastAsia"/>
          <w:sz w:val="24"/>
          <w:szCs w:val="24"/>
          <w:rtl/>
        </w:rPr>
        <w:t>לקשרי</w:t>
      </w:r>
      <w:r w:rsidR="007C6202" w:rsidRPr="00087E82">
        <w:rPr>
          <w:rFonts w:ascii="FrankRuehl" w:hAnsi="FrankRuehl" w:cs="FrankRuehl"/>
          <w:sz w:val="24"/>
          <w:szCs w:val="24"/>
          <w:rtl/>
        </w:rPr>
        <w:t xml:space="preserve"> </w:t>
      </w:r>
      <w:r w:rsidR="007C6202" w:rsidRPr="00087E82">
        <w:rPr>
          <w:rFonts w:ascii="FrankRuehl" w:hAnsi="FrankRuehl" w:cs="FrankRuehl" w:hint="eastAsia"/>
          <w:sz w:val="24"/>
          <w:szCs w:val="24"/>
          <w:rtl/>
        </w:rPr>
        <w:t>משפחה</w:t>
      </w:r>
      <w:r w:rsidR="007C6202" w:rsidRPr="00087E82">
        <w:rPr>
          <w:rFonts w:ascii="FrankRuehl" w:hAnsi="FrankRuehl" w:cs="FrankRuehl"/>
          <w:sz w:val="24"/>
          <w:szCs w:val="24"/>
          <w:rtl/>
        </w:rPr>
        <w:t xml:space="preserve"> </w:t>
      </w:r>
      <w:r w:rsidR="007C6202" w:rsidRPr="00087E82">
        <w:rPr>
          <w:rFonts w:ascii="FrankRuehl" w:hAnsi="FrankRuehl" w:cs="FrankRuehl" w:hint="eastAsia"/>
          <w:sz w:val="24"/>
          <w:szCs w:val="24"/>
          <w:rtl/>
        </w:rPr>
        <w:t>בינם</w:t>
      </w:r>
      <w:r w:rsidR="007C6202" w:rsidRPr="00087E82">
        <w:rPr>
          <w:rFonts w:ascii="FrankRuehl" w:hAnsi="FrankRuehl" w:cs="FrankRuehl"/>
          <w:sz w:val="24"/>
          <w:szCs w:val="24"/>
          <w:rtl/>
        </w:rPr>
        <w:t xml:space="preserve"> </w:t>
      </w:r>
      <w:r w:rsidR="007C6202" w:rsidRPr="00087E82">
        <w:rPr>
          <w:rFonts w:ascii="FrankRuehl" w:hAnsi="FrankRuehl" w:cs="FrankRuehl" w:hint="eastAsia"/>
          <w:sz w:val="24"/>
          <w:szCs w:val="24"/>
          <w:rtl/>
        </w:rPr>
        <w:t>לבין</w:t>
      </w:r>
      <w:r w:rsidR="007C6202" w:rsidRPr="00087E82">
        <w:rPr>
          <w:rFonts w:ascii="FrankRuehl" w:hAnsi="FrankRuehl" w:cs="FrankRuehl"/>
          <w:sz w:val="24"/>
          <w:szCs w:val="24"/>
          <w:rtl/>
        </w:rPr>
        <w:t xml:space="preserve"> </w:t>
      </w:r>
      <w:r w:rsidR="007C6202" w:rsidRPr="00087E82">
        <w:rPr>
          <w:rFonts w:ascii="FrankRuehl" w:hAnsi="FrankRuehl" w:cs="FrankRuehl" w:hint="eastAsia"/>
          <w:sz w:val="24"/>
          <w:szCs w:val="24"/>
          <w:rtl/>
        </w:rPr>
        <w:t>התינוקת</w:t>
      </w:r>
      <w:r w:rsidR="007C6202" w:rsidRPr="00087E82">
        <w:rPr>
          <w:rFonts w:ascii="FrankRuehl" w:hAnsi="FrankRuehl" w:cs="FrankRuehl"/>
          <w:sz w:val="24"/>
          <w:szCs w:val="24"/>
          <w:rtl/>
        </w:rPr>
        <w:t xml:space="preserve">. </w:t>
      </w:r>
      <w:r w:rsidR="008F6E27" w:rsidRPr="00087E82">
        <w:rPr>
          <w:rFonts w:ascii="FrankRuehl" w:hAnsi="FrankRuehl" w:cs="FrankRuehl"/>
          <w:sz w:val="24"/>
          <w:szCs w:val="24"/>
          <w:rtl/>
        </w:rPr>
        <w:t>בעוד ששתי ערכאות השיבו לשאלה זו בחיוב (בית משפט לענייני משפחה ובית המשפט המחוזי), הכריע בית המשפט העליון ברוב דעות (כב'</w:t>
      </w:r>
      <w:r w:rsidR="00B97480" w:rsidRPr="00087E82">
        <w:rPr>
          <w:rFonts w:ascii="FrankRuehl" w:hAnsi="FrankRuehl" w:cs="FrankRuehl"/>
          <w:sz w:val="24"/>
          <w:szCs w:val="24"/>
          <w:rtl/>
        </w:rPr>
        <w:t xml:space="preserve"> השופטים שטיין </w:t>
      </w:r>
      <w:proofErr w:type="spellStart"/>
      <w:r w:rsidR="00B97480" w:rsidRPr="00087E82">
        <w:rPr>
          <w:rFonts w:ascii="FrankRuehl" w:hAnsi="FrankRuehl" w:cs="FrankRuehl"/>
          <w:sz w:val="24"/>
          <w:szCs w:val="24"/>
          <w:rtl/>
        </w:rPr>
        <w:t>וגרוסקופף</w:t>
      </w:r>
      <w:proofErr w:type="spellEnd"/>
      <w:r w:rsidR="00B97480" w:rsidRPr="00087E82">
        <w:rPr>
          <w:rFonts w:ascii="FrankRuehl" w:hAnsi="FrankRuehl" w:cs="FrankRuehl"/>
          <w:sz w:val="24"/>
          <w:szCs w:val="24"/>
          <w:rtl/>
        </w:rPr>
        <w:t>, כנגד דעתה החול</w:t>
      </w:r>
      <w:r w:rsidR="008F6E27" w:rsidRPr="00087E82">
        <w:rPr>
          <w:rFonts w:ascii="FrankRuehl" w:hAnsi="FrankRuehl" w:cs="FrankRuehl"/>
          <w:sz w:val="24"/>
          <w:szCs w:val="24"/>
          <w:rtl/>
        </w:rPr>
        <w:t xml:space="preserve">קת של השופטת ברק-ארז) כי יש לקבל את הערעור שהוגש על החלטות הערכאות קמא. במרכז פסק דינו של בית המשפט העליון (בע"מ 856/23) עמדה פרשנותו של סעיף 28ו לחוק מידע גנטי </w:t>
      </w:r>
      <w:proofErr w:type="spellStart"/>
      <w:r w:rsidR="008F6E27" w:rsidRPr="00087E82">
        <w:rPr>
          <w:rFonts w:ascii="FrankRuehl" w:hAnsi="FrankRuehl" w:cs="FrankRuehl"/>
          <w:sz w:val="24"/>
          <w:szCs w:val="24"/>
          <w:rtl/>
        </w:rPr>
        <w:t>התשס"א</w:t>
      </w:r>
      <w:proofErr w:type="spellEnd"/>
      <w:r w:rsidR="008F6E27" w:rsidRPr="00087E82">
        <w:rPr>
          <w:rFonts w:ascii="FrankRuehl" w:hAnsi="FrankRuehl" w:cs="FrankRuehl"/>
          <w:sz w:val="24"/>
          <w:szCs w:val="24"/>
          <w:rtl/>
        </w:rPr>
        <w:t xml:space="preserve">- 2000 </w:t>
      </w:r>
      <w:r w:rsidR="007C6202" w:rsidRPr="00087E82">
        <w:rPr>
          <w:rFonts w:ascii="FrankRuehl" w:hAnsi="FrankRuehl" w:cs="FrankRuehl" w:hint="eastAsia"/>
          <w:sz w:val="24"/>
          <w:szCs w:val="24"/>
          <w:rtl/>
        </w:rPr>
        <w:t>והסברה</w:t>
      </w:r>
      <w:r w:rsidR="007C6202" w:rsidRPr="00087E82">
        <w:rPr>
          <w:rFonts w:ascii="FrankRuehl" w:hAnsi="FrankRuehl" w:cs="FrankRuehl"/>
          <w:sz w:val="24"/>
          <w:szCs w:val="24"/>
          <w:rtl/>
        </w:rPr>
        <w:t xml:space="preserve"> כי לא הוכח "סיכוי סביר" </w:t>
      </w:r>
      <w:r w:rsidR="007C6202" w:rsidRPr="00087E82">
        <w:rPr>
          <w:rFonts w:ascii="FrankRuehl" w:hAnsi="FrankRuehl" w:cs="FrankRuehl" w:hint="eastAsia"/>
          <w:sz w:val="24"/>
          <w:szCs w:val="24"/>
          <w:rtl/>
        </w:rPr>
        <w:t>בין</w:t>
      </w:r>
      <w:r w:rsidR="007C6202" w:rsidRPr="00087E82">
        <w:rPr>
          <w:rFonts w:ascii="FrankRuehl" w:hAnsi="FrankRuehl" w:cs="FrankRuehl"/>
          <w:sz w:val="24"/>
          <w:szCs w:val="24"/>
          <w:rtl/>
        </w:rPr>
        <w:t xml:space="preserve"> </w:t>
      </w:r>
      <w:r w:rsidR="007C6202" w:rsidRPr="00087E82">
        <w:rPr>
          <w:rFonts w:ascii="FrankRuehl" w:hAnsi="FrankRuehl" w:cs="FrankRuehl" w:hint="eastAsia"/>
          <w:sz w:val="24"/>
          <w:szCs w:val="24"/>
          <w:rtl/>
        </w:rPr>
        <w:t>מי</w:t>
      </w:r>
      <w:r w:rsidR="007C6202" w:rsidRPr="00087E82">
        <w:rPr>
          <w:rFonts w:ascii="FrankRuehl" w:hAnsi="FrankRuehl" w:cs="FrankRuehl"/>
          <w:sz w:val="24"/>
          <w:szCs w:val="24"/>
          <w:rtl/>
        </w:rPr>
        <w:t xml:space="preserve"> </w:t>
      </w:r>
      <w:r w:rsidR="007C6202" w:rsidRPr="00087E82">
        <w:rPr>
          <w:rFonts w:ascii="FrankRuehl" w:hAnsi="FrankRuehl" w:cs="FrankRuehl" w:hint="eastAsia"/>
          <w:sz w:val="24"/>
          <w:szCs w:val="24"/>
          <w:rtl/>
        </w:rPr>
        <w:t>מהמטופלות</w:t>
      </w:r>
      <w:r w:rsidR="007C6202" w:rsidRPr="00087E82">
        <w:rPr>
          <w:rFonts w:ascii="FrankRuehl" w:hAnsi="FrankRuehl" w:cs="FrankRuehl"/>
          <w:sz w:val="24"/>
          <w:szCs w:val="24"/>
          <w:rtl/>
        </w:rPr>
        <w:t xml:space="preserve"> </w:t>
      </w:r>
      <w:r w:rsidR="007C6202" w:rsidRPr="00087E82">
        <w:rPr>
          <w:rFonts w:ascii="FrankRuehl" w:hAnsi="FrankRuehl" w:cs="FrankRuehl" w:hint="eastAsia"/>
          <w:sz w:val="24"/>
          <w:szCs w:val="24"/>
          <w:rtl/>
        </w:rPr>
        <w:t>לתינוקת</w:t>
      </w:r>
      <w:r w:rsidR="007C6202" w:rsidRPr="00087E82">
        <w:rPr>
          <w:rFonts w:ascii="FrankRuehl" w:hAnsi="FrankRuehl" w:cs="FrankRuehl"/>
          <w:sz w:val="24"/>
          <w:szCs w:val="24"/>
          <w:rtl/>
        </w:rPr>
        <w:t xml:space="preserve"> ברמה אשר יש בה להצדיק ביצוע בדיקה לקשרי משפחה.</w:t>
      </w:r>
    </w:p>
    <w:p w:rsidR="008F6E27" w:rsidRPr="00087E82" w:rsidRDefault="007C6202" w:rsidP="00087E82">
      <w:pPr>
        <w:spacing w:after="0" w:line="360" w:lineRule="auto"/>
        <w:jc w:val="both"/>
        <w:rPr>
          <w:rFonts w:ascii="FrankRuehl" w:hAnsi="FrankRuehl" w:cs="FrankRuehl"/>
          <w:sz w:val="24"/>
          <w:szCs w:val="24"/>
          <w:rtl/>
        </w:rPr>
      </w:pPr>
      <w:r w:rsidRPr="00087E82">
        <w:rPr>
          <w:rFonts w:ascii="FrankRuehl" w:hAnsi="FrankRuehl" w:cs="FrankRuehl" w:hint="eastAsia"/>
          <w:sz w:val="24"/>
          <w:szCs w:val="24"/>
          <w:rtl/>
        </w:rPr>
        <w:t>ואולם</w:t>
      </w:r>
      <w:r w:rsidRPr="00087E82">
        <w:rPr>
          <w:rFonts w:ascii="FrankRuehl" w:hAnsi="FrankRuehl" w:cs="FrankRuehl"/>
          <w:sz w:val="24"/>
          <w:szCs w:val="24"/>
          <w:rtl/>
        </w:rPr>
        <w:t xml:space="preserve"> מספר שבועות </w:t>
      </w:r>
      <w:r w:rsidR="008F6E27" w:rsidRPr="00087E82">
        <w:rPr>
          <w:rFonts w:ascii="FrankRuehl" w:hAnsi="FrankRuehl" w:cs="FrankRuehl"/>
          <w:sz w:val="24"/>
          <w:szCs w:val="24"/>
          <w:rtl/>
        </w:rPr>
        <w:t xml:space="preserve">לאחר שניתן פסק </w:t>
      </w:r>
      <w:r w:rsidRPr="00087E82">
        <w:rPr>
          <w:rFonts w:ascii="FrankRuehl" w:hAnsi="FrankRuehl" w:cs="FrankRuehl" w:hint="eastAsia"/>
          <w:sz w:val="24"/>
          <w:szCs w:val="24"/>
          <w:rtl/>
        </w:rPr>
        <w:t>דינו</w:t>
      </w:r>
      <w:r w:rsidRPr="00087E82">
        <w:rPr>
          <w:rFonts w:ascii="FrankRuehl" w:hAnsi="FrankRuehl" w:cs="FrankRuehl"/>
          <w:sz w:val="24"/>
          <w:szCs w:val="24"/>
          <w:rtl/>
        </w:rPr>
        <w:t xml:space="preserve"> </w:t>
      </w:r>
      <w:r w:rsidRPr="00087E82">
        <w:rPr>
          <w:rFonts w:ascii="FrankRuehl" w:hAnsi="FrankRuehl" w:cs="FrankRuehl" w:hint="eastAsia"/>
          <w:sz w:val="24"/>
          <w:szCs w:val="24"/>
          <w:rtl/>
        </w:rPr>
        <w:t>של</w:t>
      </w:r>
      <w:r w:rsidRPr="00087E82">
        <w:rPr>
          <w:rFonts w:ascii="FrankRuehl" w:hAnsi="FrankRuehl" w:cs="FrankRuehl"/>
          <w:sz w:val="24"/>
          <w:szCs w:val="24"/>
          <w:rtl/>
        </w:rPr>
        <w:t xml:space="preserve"> </w:t>
      </w:r>
      <w:r w:rsidRPr="00087E82">
        <w:rPr>
          <w:rFonts w:ascii="FrankRuehl" w:hAnsi="FrankRuehl" w:cs="FrankRuehl" w:hint="eastAsia"/>
          <w:sz w:val="24"/>
          <w:szCs w:val="24"/>
          <w:rtl/>
        </w:rPr>
        <w:t>בית</w:t>
      </w:r>
      <w:r w:rsidRPr="00087E82">
        <w:rPr>
          <w:rFonts w:ascii="FrankRuehl" w:hAnsi="FrankRuehl" w:cs="FrankRuehl"/>
          <w:sz w:val="24"/>
          <w:szCs w:val="24"/>
          <w:rtl/>
        </w:rPr>
        <w:t xml:space="preserve"> </w:t>
      </w:r>
      <w:r w:rsidRPr="00087E82">
        <w:rPr>
          <w:rFonts w:ascii="FrankRuehl" w:hAnsi="FrankRuehl" w:cs="FrankRuehl" w:hint="eastAsia"/>
          <w:sz w:val="24"/>
          <w:szCs w:val="24"/>
          <w:rtl/>
        </w:rPr>
        <w:t>המשפט</w:t>
      </w:r>
      <w:r w:rsidRPr="00087E82">
        <w:rPr>
          <w:rFonts w:ascii="FrankRuehl" w:hAnsi="FrankRuehl" w:cs="FrankRuehl"/>
          <w:sz w:val="24"/>
          <w:szCs w:val="24"/>
          <w:rtl/>
        </w:rPr>
        <w:t xml:space="preserve"> </w:t>
      </w:r>
      <w:r w:rsidRPr="00087E82">
        <w:rPr>
          <w:rFonts w:ascii="FrankRuehl" w:hAnsi="FrankRuehl" w:cs="FrankRuehl" w:hint="eastAsia"/>
          <w:sz w:val="24"/>
          <w:szCs w:val="24"/>
          <w:rtl/>
        </w:rPr>
        <w:t>העליון</w:t>
      </w:r>
      <w:r w:rsidR="007D775F">
        <w:rPr>
          <w:rFonts w:ascii="FrankRuehl" w:hAnsi="FrankRuehl" w:cs="FrankRuehl" w:hint="cs"/>
          <w:sz w:val="24"/>
          <w:szCs w:val="24"/>
          <w:rtl/>
        </w:rPr>
        <w:t xml:space="preserve"> הוגש</w:t>
      </w:r>
      <w:r w:rsidRPr="00087E82">
        <w:rPr>
          <w:rFonts w:ascii="FrankRuehl" w:hAnsi="FrankRuehl" w:cs="FrankRuehl"/>
          <w:sz w:val="24"/>
          <w:szCs w:val="24"/>
          <w:rtl/>
        </w:rPr>
        <w:t xml:space="preserve"> </w:t>
      </w:r>
      <w:r w:rsidR="008F6E27" w:rsidRPr="00087E82">
        <w:rPr>
          <w:rFonts w:ascii="FrankRuehl" w:hAnsi="FrankRuehl" w:cs="FrankRuehl"/>
          <w:sz w:val="24"/>
          <w:szCs w:val="24"/>
          <w:rtl/>
        </w:rPr>
        <w:t>"דו"ח ועדת הבדיקה בדבר הנסיבות שגרמו לטעות במהלך הפריה חוץ גופית במטופלת בבית החולים אסותא ראשון לציון" ממנו עולה כי שני זוגות הינם בעלי "סיכוי גבוה" להיות ההורים הגנטיים של התינוקת, כאשר הסיכוי הגבוה ביותר הינו של המשיבים. מהדו"ח עלה כי מקור הטעות היה ככל הנראה בהחלפת התור להחזרת העוברים בין המשי</w:t>
      </w:r>
      <w:r w:rsidR="00685B9C" w:rsidRPr="00087E82">
        <w:rPr>
          <w:rFonts w:ascii="FrankRuehl" w:hAnsi="FrankRuehl" w:cs="FrankRuehl"/>
          <w:sz w:val="24"/>
          <w:szCs w:val="24"/>
          <w:rtl/>
        </w:rPr>
        <w:t>בה למערערת זמן קצר קודם להעברה.</w:t>
      </w:r>
    </w:p>
    <w:p w:rsidR="008F6E27" w:rsidRPr="00087E82" w:rsidRDefault="008F6E27" w:rsidP="00087E82">
      <w:pPr>
        <w:spacing w:after="0" w:line="360" w:lineRule="auto"/>
        <w:jc w:val="both"/>
        <w:rPr>
          <w:rFonts w:ascii="FrankRuehl" w:hAnsi="FrankRuehl" w:cs="FrankRuehl"/>
          <w:sz w:val="24"/>
          <w:szCs w:val="24"/>
          <w:rtl/>
        </w:rPr>
      </w:pPr>
      <w:r w:rsidRPr="00087E82">
        <w:rPr>
          <w:rFonts w:ascii="FrankRuehl" w:hAnsi="FrankRuehl" w:cs="FrankRuehl"/>
          <w:sz w:val="24"/>
          <w:szCs w:val="24"/>
          <w:rtl/>
        </w:rPr>
        <w:t>בנסיבות אלו פנו המשיבים בבקשה לעריכת דיון נוסף (דנ"א 2140/23). בקשתם נדחתה תוך שנקבע כי דו"ח ועדת הבריאות לא עמד בפני בית המשפט העליון עת נתן את פסק דינו, וככל ומי מהצדדים סבור כי יש בכוחו לשנות את ההכרעה השיפוטית מיסודה "הוא רשאי להעלות את ט</w:t>
      </w:r>
      <w:r w:rsidR="00685B9C" w:rsidRPr="00087E82">
        <w:rPr>
          <w:rFonts w:ascii="FrankRuehl" w:hAnsi="FrankRuehl" w:cs="FrankRuehl"/>
          <w:sz w:val="24"/>
          <w:szCs w:val="24"/>
          <w:rtl/>
        </w:rPr>
        <w:t>ענותיו בדרכים שהותוו לכך בדין".</w:t>
      </w:r>
    </w:p>
    <w:p w:rsidR="008F6E27" w:rsidRPr="00087E82" w:rsidRDefault="008F6E27" w:rsidP="00087E82">
      <w:pPr>
        <w:spacing w:after="0" w:line="360" w:lineRule="auto"/>
        <w:jc w:val="both"/>
        <w:rPr>
          <w:rFonts w:ascii="FrankRuehl" w:hAnsi="FrankRuehl" w:cs="FrankRuehl"/>
          <w:sz w:val="24"/>
          <w:szCs w:val="24"/>
          <w:rtl/>
        </w:rPr>
      </w:pPr>
      <w:r w:rsidRPr="00087E82">
        <w:rPr>
          <w:rFonts w:ascii="FrankRuehl" w:hAnsi="FrankRuehl" w:cs="FrankRuehl"/>
          <w:sz w:val="24"/>
          <w:szCs w:val="24"/>
          <w:rtl/>
        </w:rPr>
        <w:t xml:space="preserve">משכך, הוגשה תביעה נוספת לבית משפט לענייני משפחה </w:t>
      </w:r>
      <w:r w:rsidR="007C6202" w:rsidRPr="00087E82">
        <w:rPr>
          <w:rFonts w:ascii="FrankRuehl" w:hAnsi="FrankRuehl" w:cs="FrankRuehl" w:hint="eastAsia"/>
          <w:sz w:val="24"/>
          <w:szCs w:val="24"/>
          <w:rtl/>
        </w:rPr>
        <w:t>נוכח</w:t>
      </w:r>
      <w:r w:rsidR="007C6202" w:rsidRPr="00087E82">
        <w:rPr>
          <w:rFonts w:ascii="FrankRuehl" w:hAnsi="FrankRuehl" w:cs="FrankRuehl"/>
          <w:sz w:val="24"/>
          <w:szCs w:val="24"/>
          <w:rtl/>
        </w:rPr>
        <w:t xml:space="preserve"> </w:t>
      </w:r>
      <w:r w:rsidR="007C6202" w:rsidRPr="00087E82">
        <w:rPr>
          <w:rFonts w:ascii="FrankRuehl" w:hAnsi="FrankRuehl" w:cs="FrankRuehl" w:hint="eastAsia"/>
          <w:sz w:val="24"/>
          <w:szCs w:val="24"/>
          <w:rtl/>
        </w:rPr>
        <w:t>הראיה</w:t>
      </w:r>
      <w:r w:rsidR="007C6202" w:rsidRPr="00087E82">
        <w:rPr>
          <w:rFonts w:ascii="FrankRuehl" w:hAnsi="FrankRuehl" w:cs="FrankRuehl"/>
          <w:sz w:val="24"/>
          <w:szCs w:val="24"/>
          <w:rtl/>
        </w:rPr>
        <w:t xml:space="preserve"> </w:t>
      </w:r>
      <w:r w:rsidR="007C6202" w:rsidRPr="00087E82">
        <w:rPr>
          <w:rFonts w:ascii="FrankRuehl" w:hAnsi="FrankRuehl" w:cs="FrankRuehl" w:hint="eastAsia"/>
          <w:sz w:val="24"/>
          <w:szCs w:val="24"/>
          <w:rtl/>
        </w:rPr>
        <w:t>החדשה</w:t>
      </w:r>
      <w:r w:rsidR="007C6202" w:rsidRPr="00087E82">
        <w:rPr>
          <w:rFonts w:ascii="FrankRuehl" w:hAnsi="FrankRuehl" w:cs="FrankRuehl"/>
          <w:sz w:val="24"/>
          <w:szCs w:val="24"/>
          <w:rtl/>
        </w:rPr>
        <w:t xml:space="preserve"> </w:t>
      </w:r>
      <w:r w:rsidR="007C6202" w:rsidRPr="00087E82">
        <w:rPr>
          <w:rFonts w:ascii="FrankRuehl" w:hAnsi="FrankRuehl" w:cs="FrankRuehl" w:hint="eastAsia"/>
          <w:sz w:val="24"/>
          <w:szCs w:val="24"/>
          <w:rtl/>
        </w:rPr>
        <w:t>שהומצאה</w:t>
      </w:r>
      <w:r w:rsidR="007C6202" w:rsidRPr="00087E82">
        <w:rPr>
          <w:rFonts w:ascii="FrankRuehl" w:hAnsi="FrankRuehl" w:cs="FrankRuehl"/>
          <w:sz w:val="24"/>
          <w:szCs w:val="24"/>
          <w:rtl/>
        </w:rPr>
        <w:t xml:space="preserve"> </w:t>
      </w:r>
      <w:r w:rsidR="007C6202" w:rsidRPr="00087E82">
        <w:rPr>
          <w:rFonts w:ascii="FrankRuehl" w:hAnsi="FrankRuehl" w:cs="FrankRuehl" w:hint="eastAsia"/>
          <w:sz w:val="24"/>
          <w:szCs w:val="24"/>
          <w:rtl/>
        </w:rPr>
        <w:t>לצדדי</w:t>
      </w:r>
      <w:r w:rsidR="00087E82">
        <w:rPr>
          <w:rFonts w:ascii="FrankRuehl" w:hAnsi="FrankRuehl" w:cs="FrankRuehl" w:hint="cs"/>
          <w:sz w:val="24"/>
          <w:szCs w:val="24"/>
          <w:rtl/>
        </w:rPr>
        <w:t>ם</w:t>
      </w:r>
      <w:r w:rsidR="007C6202" w:rsidRPr="00087E82">
        <w:rPr>
          <w:rFonts w:ascii="FrankRuehl" w:hAnsi="FrankRuehl" w:cs="FrankRuehl"/>
          <w:sz w:val="24"/>
          <w:szCs w:val="24"/>
          <w:rtl/>
        </w:rPr>
        <w:t xml:space="preserve">.  בית המשפט לענייני משפחה קיבל את התביעה, </w:t>
      </w:r>
      <w:r w:rsidR="00993515">
        <w:rPr>
          <w:rFonts w:ascii="FrankRuehl" w:hAnsi="FrankRuehl" w:cs="FrankRuehl" w:hint="cs"/>
          <w:sz w:val="24"/>
          <w:szCs w:val="24"/>
          <w:rtl/>
        </w:rPr>
        <w:t xml:space="preserve"> </w:t>
      </w:r>
      <w:r w:rsidR="00E7284B" w:rsidRPr="00087E82">
        <w:rPr>
          <w:rFonts w:ascii="FrankRuehl" w:hAnsi="FrankRuehl" w:cs="FrankRuehl" w:hint="eastAsia"/>
          <w:sz w:val="24"/>
          <w:szCs w:val="24"/>
          <w:rtl/>
        </w:rPr>
        <w:t>בהליך</w:t>
      </w:r>
      <w:r w:rsidR="00E7284B" w:rsidRPr="00087E82">
        <w:rPr>
          <w:rFonts w:ascii="FrankRuehl" w:hAnsi="FrankRuehl" w:cs="FrankRuehl"/>
          <w:sz w:val="24"/>
          <w:szCs w:val="24"/>
          <w:rtl/>
        </w:rPr>
        <w:t xml:space="preserve"> </w:t>
      </w:r>
      <w:r w:rsidR="00E7284B" w:rsidRPr="00087E82">
        <w:rPr>
          <w:rFonts w:ascii="FrankRuehl" w:hAnsi="FrankRuehl" w:cs="FrankRuehl" w:hint="eastAsia"/>
          <w:sz w:val="24"/>
          <w:szCs w:val="24"/>
          <w:rtl/>
        </w:rPr>
        <w:t>המכונה</w:t>
      </w:r>
      <w:r w:rsidR="00E7284B" w:rsidRPr="00087E82">
        <w:rPr>
          <w:rFonts w:ascii="FrankRuehl" w:hAnsi="FrankRuehl" w:cs="FrankRuehl"/>
          <w:sz w:val="24"/>
          <w:szCs w:val="24"/>
          <w:rtl/>
        </w:rPr>
        <w:t xml:space="preserve"> "</w:t>
      </w:r>
      <w:r w:rsidR="007C6202" w:rsidRPr="00087E82">
        <w:rPr>
          <w:rFonts w:ascii="FrankRuehl" w:hAnsi="FrankRuehl" w:cs="FrankRuehl" w:hint="eastAsia"/>
          <w:sz w:val="24"/>
          <w:szCs w:val="24"/>
          <w:rtl/>
        </w:rPr>
        <w:t>משפט</w:t>
      </w:r>
      <w:r w:rsidR="007C6202" w:rsidRPr="00087E82">
        <w:rPr>
          <w:rFonts w:ascii="FrankRuehl" w:hAnsi="FrankRuehl" w:cs="FrankRuehl"/>
          <w:sz w:val="24"/>
          <w:szCs w:val="24"/>
          <w:rtl/>
        </w:rPr>
        <w:t xml:space="preserve"> </w:t>
      </w:r>
      <w:r w:rsidR="007C6202" w:rsidRPr="00087E82">
        <w:rPr>
          <w:rFonts w:ascii="FrankRuehl" w:hAnsi="FrankRuehl" w:cs="FrankRuehl" w:hint="eastAsia"/>
          <w:sz w:val="24"/>
          <w:szCs w:val="24"/>
          <w:rtl/>
        </w:rPr>
        <w:t>חוזר</w:t>
      </w:r>
      <w:r w:rsidR="007C6202" w:rsidRPr="00087E82">
        <w:rPr>
          <w:rFonts w:ascii="FrankRuehl" w:hAnsi="FrankRuehl" w:cs="FrankRuehl"/>
          <w:sz w:val="24"/>
          <w:szCs w:val="24"/>
          <w:rtl/>
        </w:rPr>
        <w:t xml:space="preserve"> </w:t>
      </w:r>
      <w:r w:rsidR="007C6202" w:rsidRPr="00087E82">
        <w:rPr>
          <w:rFonts w:ascii="FrankRuehl" w:hAnsi="FrankRuehl" w:cs="FrankRuehl" w:hint="eastAsia"/>
          <w:sz w:val="24"/>
          <w:szCs w:val="24"/>
          <w:rtl/>
        </w:rPr>
        <w:t>אזרחי</w:t>
      </w:r>
      <w:r w:rsidR="007C6202" w:rsidRPr="00087E82">
        <w:rPr>
          <w:rFonts w:ascii="FrankRuehl" w:hAnsi="FrankRuehl" w:cs="FrankRuehl"/>
          <w:sz w:val="24"/>
          <w:szCs w:val="24"/>
          <w:rtl/>
        </w:rPr>
        <w:t>"</w:t>
      </w:r>
      <w:r w:rsidR="00E7284B" w:rsidRPr="00087E82">
        <w:rPr>
          <w:rFonts w:ascii="FrankRuehl" w:hAnsi="FrankRuehl" w:cs="FrankRuehl"/>
          <w:sz w:val="24"/>
          <w:szCs w:val="24"/>
          <w:rtl/>
        </w:rPr>
        <w:t>,</w:t>
      </w:r>
      <w:r w:rsidR="00993515">
        <w:rPr>
          <w:rFonts w:ascii="FrankRuehl" w:hAnsi="FrankRuehl" w:cs="FrankRuehl"/>
          <w:sz w:val="24"/>
          <w:szCs w:val="24"/>
          <w:rtl/>
        </w:rPr>
        <w:t xml:space="preserve"> </w:t>
      </w:r>
      <w:r w:rsidR="007C6202" w:rsidRPr="00087E82">
        <w:rPr>
          <w:rFonts w:ascii="FrankRuehl" w:hAnsi="FrankRuehl" w:cs="FrankRuehl"/>
          <w:sz w:val="24"/>
          <w:szCs w:val="24"/>
          <w:rtl/>
        </w:rPr>
        <w:t xml:space="preserve">והתיר </w:t>
      </w:r>
      <w:r w:rsidRPr="00087E82">
        <w:rPr>
          <w:rFonts w:ascii="FrankRuehl" w:hAnsi="FrankRuehl" w:cs="FrankRuehl"/>
          <w:sz w:val="24"/>
          <w:szCs w:val="24"/>
          <w:rtl/>
        </w:rPr>
        <w:t>למשיבים לערוך בדיקה להתאמה גנטית בינם לבין התינוקת.</w:t>
      </w:r>
    </w:p>
    <w:p w:rsidR="008F6E27" w:rsidRPr="00087E82" w:rsidRDefault="00D92B93" w:rsidP="00087E82">
      <w:pPr>
        <w:spacing w:after="0" w:line="360" w:lineRule="auto"/>
        <w:jc w:val="both"/>
        <w:rPr>
          <w:rFonts w:ascii="FrankRuehl" w:hAnsi="FrankRuehl" w:cs="FrankRuehl"/>
          <w:sz w:val="24"/>
          <w:szCs w:val="24"/>
          <w:rtl/>
        </w:rPr>
      </w:pPr>
      <w:r>
        <w:rPr>
          <w:rFonts w:ascii="FrankRuehl" w:hAnsi="FrankRuehl" w:cs="FrankRuehl" w:hint="cs"/>
          <w:sz w:val="24"/>
          <w:szCs w:val="24"/>
          <w:rtl/>
        </w:rPr>
        <w:t>על החלטה זו הוגש ה</w:t>
      </w:r>
      <w:r w:rsidR="007C6202" w:rsidRPr="00087E82">
        <w:rPr>
          <w:rFonts w:ascii="FrankRuehl" w:hAnsi="FrankRuehl" w:cs="FrankRuehl" w:hint="eastAsia"/>
          <w:sz w:val="24"/>
          <w:szCs w:val="24"/>
          <w:rtl/>
        </w:rPr>
        <w:t>ערעור</w:t>
      </w:r>
      <w:r>
        <w:rPr>
          <w:rFonts w:ascii="FrankRuehl" w:hAnsi="FrankRuehl" w:cs="FrankRuehl" w:hint="cs"/>
          <w:sz w:val="24"/>
          <w:szCs w:val="24"/>
          <w:rtl/>
        </w:rPr>
        <w:t xml:space="preserve">, אשר </w:t>
      </w:r>
      <w:r w:rsidR="007D775F">
        <w:rPr>
          <w:rFonts w:ascii="FrankRuehl" w:hAnsi="FrankRuehl" w:cs="FrankRuehl" w:hint="cs"/>
          <w:sz w:val="24"/>
          <w:szCs w:val="24"/>
          <w:rtl/>
        </w:rPr>
        <w:t xml:space="preserve">נדחה </w:t>
      </w:r>
      <w:r w:rsidR="007C6202" w:rsidRPr="00087E82">
        <w:rPr>
          <w:rFonts w:ascii="FrankRuehl" w:hAnsi="FrankRuehl" w:cs="FrankRuehl" w:hint="eastAsia"/>
          <w:sz w:val="24"/>
          <w:szCs w:val="24"/>
          <w:rtl/>
        </w:rPr>
        <w:t>פה</w:t>
      </w:r>
      <w:r w:rsidR="007C6202" w:rsidRPr="00087E82">
        <w:rPr>
          <w:rFonts w:ascii="FrankRuehl" w:hAnsi="FrankRuehl" w:cs="FrankRuehl"/>
          <w:sz w:val="24"/>
          <w:szCs w:val="24"/>
          <w:rtl/>
        </w:rPr>
        <w:t xml:space="preserve"> </w:t>
      </w:r>
      <w:r w:rsidR="007C6202" w:rsidRPr="00087E82">
        <w:rPr>
          <w:rFonts w:ascii="FrankRuehl" w:hAnsi="FrankRuehl" w:cs="FrankRuehl" w:hint="eastAsia"/>
          <w:sz w:val="24"/>
          <w:szCs w:val="24"/>
          <w:rtl/>
        </w:rPr>
        <w:t>אחד</w:t>
      </w:r>
      <w:r w:rsidR="007C6202" w:rsidRPr="00087E82">
        <w:rPr>
          <w:rFonts w:ascii="FrankRuehl" w:hAnsi="FrankRuehl" w:cs="FrankRuehl"/>
          <w:sz w:val="24"/>
          <w:szCs w:val="24"/>
          <w:rtl/>
        </w:rPr>
        <w:t xml:space="preserve"> </w:t>
      </w:r>
      <w:r w:rsidR="007C6202" w:rsidRPr="00087E82">
        <w:rPr>
          <w:rFonts w:ascii="FrankRuehl" w:hAnsi="FrankRuehl" w:cs="FrankRuehl" w:hint="eastAsia"/>
          <w:sz w:val="24"/>
          <w:szCs w:val="24"/>
          <w:rtl/>
        </w:rPr>
        <w:t>על</w:t>
      </w:r>
      <w:r w:rsidR="007C6202" w:rsidRPr="00087E82">
        <w:rPr>
          <w:rFonts w:ascii="FrankRuehl" w:hAnsi="FrankRuehl" w:cs="FrankRuehl"/>
          <w:sz w:val="24"/>
          <w:szCs w:val="24"/>
          <w:rtl/>
        </w:rPr>
        <w:t xml:space="preserve"> </w:t>
      </w:r>
      <w:r w:rsidR="007C6202" w:rsidRPr="00087E82">
        <w:rPr>
          <w:rFonts w:ascii="FrankRuehl" w:hAnsi="FrankRuehl" w:cs="FrankRuehl" w:hint="eastAsia"/>
          <w:sz w:val="24"/>
          <w:szCs w:val="24"/>
          <w:rtl/>
        </w:rPr>
        <w:t>ידי</w:t>
      </w:r>
      <w:r w:rsidR="007C6202" w:rsidRPr="00087E82">
        <w:rPr>
          <w:rFonts w:ascii="FrankRuehl" w:hAnsi="FrankRuehl" w:cs="FrankRuehl"/>
          <w:sz w:val="24"/>
          <w:szCs w:val="24"/>
          <w:rtl/>
        </w:rPr>
        <w:t xml:space="preserve"> </w:t>
      </w:r>
      <w:r>
        <w:rPr>
          <w:rFonts w:ascii="FrankRuehl" w:hAnsi="FrankRuehl" w:cs="FrankRuehl" w:hint="eastAsia"/>
          <w:sz w:val="24"/>
          <w:szCs w:val="24"/>
          <w:rtl/>
        </w:rPr>
        <w:t>ש</w:t>
      </w:r>
      <w:r>
        <w:rPr>
          <w:rFonts w:ascii="FrankRuehl" w:hAnsi="FrankRuehl" w:cs="FrankRuehl" w:hint="cs"/>
          <w:sz w:val="24"/>
          <w:szCs w:val="24"/>
          <w:rtl/>
        </w:rPr>
        <w:t>לושת ש</w:t>
      </w:r>
      <w:bookmarkStart w:id="0" w:name="_GoBack"/>
      <w:bookmarkEnd w:id="0"/>
      <w:r>
        <w:rPr>
          <w:rFonts w:ascii="FrankRuehl" w:hAnsi="FrankRuehl" w:cs="FrankRuehl" w:hint="cs"/>
          <w:sz w:val="24"/>
          <w:szCs w:val="24"/>
          <w:rtl/>
        </w:rPr>
        <w:t>ופטי</w:t>
      </w:r>
      <w:r w:rsidR="007C6202" w:rsidRPr="00087E82">
        <w:rPr>
          <w:rFonts w:ascii="FrankRuehl" w:hAnsi="FrankRuehl" w:cs="FrankRuehl"/>
          <w:sz w:val="24"/>
          <w:szCs w:val="24"/>
          <w:rtl/>
        </w:rPr>
        <w:t xml:space="preserve"> </w:t>
      </w:r>
      <w:r w:rsidR="007C6202" w:rsidRPr="00087E82">
        <w:rPr>
          <w:rFonts w:ascii="FrankRuehl" w:hAnsi="FrankRuehl" w:cs="FrankRuehl" w:hint="eastAsia"/>
          <w:sz w:val="24"/>
          <w:szCs w:val="24"/>
          <w:rtl/>
        </w:rPr>
        <w:t>הרכב</w:t>
      </w:r>
      <w:r w:rsidR="007C6202" w:rsidRPr="00087E82">
        <w:rPr>
          <w:rFonts w:ascii="FrankRuehl" w:hAnsi="FrankRuehl" w:cs="FrankRuehl"/>
          <w:sz w:val="24"/>
          <w:szCs w:val="24"/>
          <w:rtl/>
        </w:rPr>
        <w:t xml:space="preserve"> </w:t>
      </w:r>
      <w:r w:rsidR="007C6202" w:rsidRPr="00087E82">
        <w:rPr>
          <w:rFonts w:ascii="FrankRuehl" w:hAnsi="FrankRuehl" w:cs="FrankRuehl" w:hint="eastAsia"/>
          <w:sz w:val="24"/>
          <w:szCs w:val="24"/>
          <w:rtl/>
        </w:rPr>
        <w:t>בית</w:t>
      </w:r>
      <w:r w:rsidR="007C6202" w:rsidRPr="00087E82">
        <w:rPr>
          <w:rFonts w:ascii="FrankRuehl" w:hAnsi="FrankRuehl" w:cs="FrankRuehl"/>
          <w:sz w:val="24"/>
          <w:szCs w:val="24"/>
          <w:rtl/>
        </w:rPr>
        <w:t xml:space="preserve"> </w:t>
      </w:r>
      <w:r w:rsidR="007C6202" w:rsidRPr="00087E82">
        <w:rPr>
          <w:rFonts w:ascii="FrankRuehl" w:hAnsi="FrankRuehl" w:cs="FrankRuehl" w:hint="eastAsia"/>
          <w:sz w:val="24"/>
          <w:szCs w:val="24"/>
          <w:rtl/>
        </w:rPr>
        <w:t>המשפט</w:t>
      </w:r>
      <w:r w:rsidR="007C6202" w:rsidRPr="00087E82">
        <w:rPr>
          <w:rFonts w:ascii="FrankRuehl" w:hAnsi="FrankRuehl" w:cs="FrankRuehl"/>
          <w:sz w:val="24"/>
          <w:szCs w:val="24"/>
          <w:rtl/>
        </w:rPr>
        <w:t xml:space="preserve"> </w:t>
      </w:r>
      <w:r w:rsidR="007C6202" w:rsidRPr="00087E82">
        <w:rPr>
          <w:rFonts w:ascii="FrankRuehl" w:hAnsi="FrankRuehl" w:cs="FrankRuehl" w:hint="eastAsia"/>
          <w:sz w:val="24"/>
          <w:szCs w:val="24"/>
          <w:rtl/>
        </w:rPr>
        <w:t>המחוזי</w:t>
      </w:r>
      <w:r w:rsidR="007C6202" w:rsidRPr="00087E82">
        <w:rPr>
          <w:rFonts w:ascii="FrankRuehl" w:hAnsi="FrankRuehl" w:cs="FrankRuehl"/>
          <w:sz w:val="24"/>
          <w:szCs w:val="24"/>
          <w:rtl/>
        </w:rPr>
        <w:t>.</w:t>
      </w:r>
    </w:p>
    <w:p w:rsidR="008F6E27" w:rsidRPr="00087E82" w:rsidRDefault="007C6202" w:rsidP="00087E82">
      <w:pPr>
        <w:spacing w:after="0" w:line="360" w:lineRule="auto"/>
        <w:jc w:val="both"/>
        <w:rPr>
          <w:rFonts w:ascii="FrankRuehl" w:hAnsi="FrankRuehl" w:cs="FrankRuehl"/>
          <w:sz w:val="24"/>
          <w:szCs w:val="24"/>
          <w:rtl/>
        </w:rPr>
      </w:pPr>
      <w:r w:rsidRPr="00087E82">
        <w:rPr>
          <w:rFonts w:ascii="FrankRuehl" w:hAnsi="FrankRuehl" w:cs="FrankRuehl" w:hint="eastAsia"/>
          <w:sz w:val="24"/>
          <w:szCs w:val="24"/>
          <w:rtl/>
        </w:rPr>
        <w:t>בית</w:t>
      </w:r>
      <w:r w:rsidRPr="00087E82">
        <w:rPr>
          <w:rFonts w:ascii="FrankRuehl" w:hAnsi="FrankRuehl" w:cs="FrankRuehl"/>
          <w:sz w:val="24"/>
          <w:szCs w:val="24"/>
          <w:rtl/>
        </w:rPr>
        <w:t xml:space="preserve"> המשפט קבע כי </w:t>
      </w:r>
      <w:r w:rsidR="008F6E27" w:rsidRPr="00087E82">
        <w:rPr>
          <w:rFonts w:ascii="FrankRuehl" w:hAnsi="FrankRuehl" w:cs="FrankRuehl"/>
          <w:sz w:val="24"/>
          <w:szCs w:val="24"/>
          <w:rtl/>
        </w:rPr>
        <w:t xml:space="preserve">המשיבים עמדו בתנאים לביטול פסק דין ולקיום משפט אזרחי חוזר, שכן התקיימו נסיבות שבהן שיקולי צדק גוברים על כללי סופיות הדיון, ובכללן גילוי ראיה חדשה </w:t>
      </w:r>
      <w:r w:rsidR="00B97480" w:rsidRPr="00087E82">
        <w:rPr>
          <w:rFonts w:ascii="FrankRuehl" w:hAnsi="FrankRuehl" w:cs="FrankRuehl"/>
          <w:sz w:val="24"/>
          <w:szCs w:val="24"/>
          <w:rtl/>
        </w:rPr>
        <w:t xml:space="preserve">- </w:t>
      </w:r>
      <w:r w:rsidR="00B97480" w:rsidRPr="00087E82">
        <w:rPr>
          <w:rFonts w:ascii="FrankRuehl" w:hAnsi="FrankRuehl" w:cs="FrankRuehl"/>
          <w:b/>
          <w:bCs/>
          <w:sz w:val="24"/>
          <w:szCs w:val="24"/>
          <w:rtl/>
        </w:rPr>
        <w:t>דו"ח ו</w:t>
      </w:r>
      <w:r w:rsidR="008F6E27" w:rsidRPr="00087E82">
        <w:rPr>
          <w:rFonts w:ascii="FrankRuehl" w:hAnsi="FrankRuehl" w:cs="FrankRuehl"/>
          <w:b/>
          <w:bCs/>
          <w:sz w:val="24"/>
          <w:szCs w:val="24"/>
          <w:rtl/>
        </w:rPr>
        <w:t>עדת הבדיקה</w:t>
      </w:r>
      <w:r w:rsidR="00993515">
        <w:rPr>
          <w:rFonts w:ascii="FrankRuehl" w:hAnsi="FrankRuehl" w:cs="FrankRuehl" w:hint="cs"/>
          <w:sz w:val="24"/>
          <w:szCs w:val="24"/>
          <w:rtl/>
        </w:rPr>
        <w:t xml:space="preserve"> </w:t>
      </w:r>
      <w:r w:rsidR="008F6E27" w:rsidRPr="00087E82">
        <w:rPr>
          <w:rFonts w:ascii="FrankRuehl" w:hAnsi="FrankRuehl" w:cs="FrankRuehl"/>
          <w:sz w:val="24"/>
          <w:szCs w:val="24"/>
          <w:rtl/>
        </w:rPr>
        <w:t>- שבכוחה לשנות את ההלכה מיסודה</w:t>
      </w:r>
      <w:r w:rsidR="00E7284B" w:rsidRPr="00087E82">
        <w:rPr>
          <w:rFonts w:ascii="FrankRuehl" w:hAnsi="FrankRuehl" w:cs="FrankRuehl"/>
          <w:sz w:val="24"/>
          <w:szCs w:val="24"/>
          <w:rtl/>
        </w:rPr>
        <w:t>,</w:t>
      </w:r>
      <w:r w:rsidR="008F6E27" w:rsidRPr="00087E82">
        <w:rPr>
          <w:rFonts w:ascii="FrankRuehl" w:hAnsi="FrankRuehl" w:cs="FrankRuehl"/>
          <w:sz w:val="24"/>
          <w:szCs w:val="24"/>
          <w:rtl/>
        </w:rPr>
        <w:t xml:space="preserve"> ולא ניתן היה להשיגה בשקידה סבירה קודם לכן. </w:t>
      </w:r>
      <w:r w:rsidR="007D775F">
        <w:rPr>
          <w:rFonts w:ascii="FrankRuehl" w:hAnsi="FrankRuehl" w:cs="FrankRuehl" w:hint="cs"/>
          <w:sz w:val="24"/>
          <w:szCs w:val="24"/>
          <w:rtl/>
        </w:rPr>
        <w:t xml:space="preserve">בניגוד </w:t>
      </w:r>
      <w:r w:rsidR="007D775F" w:rsidRPr="00662F5E">
        <w:rPr>
          <w:rFonts w:ascii="FrankRuehl" w:hAnsi="FrankRuehl" w:cs="FrankRuehl"/>
          <w:sz w:val="24"/>
          <w:szCs w:val="24"/>
          <w:rtl/>
        </w:rPr>
        <w:t>לממצאי בית חולים אסותא,</w:t>
      </w:r>
      <w:r w:rsidR="007D775F">
        <w:rPr>
          <w:rFonts w:ascii="FrankRuehl" w:hAnsi="FrankRuehl" w:cs="FrankRuehl" w:hint="cs"/>
          <w:sz w:val="24"/>
          <w:szCs w:val="24"/>
          <w:rtl/>
        </w:rPr>
        <w:t xml:space="preserve"> </w:t>
      </w:r>
      <w:r w:rsidRPr="00087E82">
        <w:rPr>
          <w:rFonts w:ascii="FrankRuehl" w:hAnsi="FrankRuehl" w:cs="FrankRuehl" w:hint="eastAsia"/>
          <w:sz w:val="24"/>
          <w:szCs w:val="24"/>
          <w:rtl/>
        </w:rPr>
        <w:t>נמצא</w:t>
      </w:r>
      <w:r w:rsidRPr="00087E82">
        <w:rPr>
          <w:rFonts w:ascii="FrankRuehl" w:hAnsi="FrankRuehl" w:cs="FrankRuehl"/>
          <w:sz w:val="24"/>
          <w:szCs w:val="24"/>
          <w:rtl/>
        </w:rPr>
        <w:t xml:space="preserve"> כי </w:t>
      </w:r>
      <w:r w:rsidR="008F6E27" w:rsidRPr="00087E82">
        <w:rPr>
          <w:rFonts w:ascii="FrankRuehl" w:hAnsi="FrankRuehl" w:cs="FrankRuehl"/>
          <w:sz w:val="24"/>
          <w:szCs w:val="24"/>
          <w:rtl/>
        </w:rPr>
        <w:t xml:space="preserve">דו"ח ועדת הבדיקה נערך על ידי ועדה עצמאית </w:t>
      </w:r>
      <w:r w:rsidR="007D775F">
        <w:rPr>
          <w:rFonts w:ascii="FrankRuehl" w:hAnsi="FrankRuehl" w:cs="FrankRuehl" w:hint="cs"/>
          <w:sz w:val="24"/>
          <w:szCs w:val="24"/>
          <w:rtl/>
        </w:rPr>
        <w:t>ו</w:t>
      </w:r>
      <w:r w:rsidR="008F6E27" w:rsidRPr="00087E82">
        <w:rPr>
          <w:rFonts w:ascii="FrankRuehl" w:hAnsi="FrankRuehl" w:cs="FrankRuehl"/>
          <w:sz w:val="24"/>
          <w:szCs w:val="24"/>
          <w:rtl/>
        </w:rPr>
        <w:t xml:space="preserve">בלתי </w:t>
      </w:r>
      <w:proofErr w:type="spellStart"/>
      <w:r w:rsidR="008F6E27" w:rsidRPr="00087E82">
        <w:rPr>
          <w:rFonts w:ascii="FrankRuehl" w:hAnsi="FrankRuehl" w:cs="FrankRuehl"/>
          <w:sz w:val="24"/>
          <w:szCs w:val="24"/>
          <w:rtl/>
        </w:rPr>
        <w:t>תלוייה</w:t>
      </w:r>
      <w:proofErr w:type="spellEnd"/>
      <w:r w:rsidR="008F6E27" w:rsidRPr="00087E82">
        <w:rPr>
          <w:rFonts w:ascii="FrankRuehl" w:hAnsi="FrankRuehl" w:cs="FrankRuehl"/>
          <w:sz w:val="24"/>
          <w:szCs w:val="24"/>
          <w:rtl/>
        </w:rPr>
        <w:t xml:space="preserve"> שאין לה קשר כלשהו להשתלשלות העניינים</w:t>
      </w:r>
      <w:r w:rsidR="007D775F">
        <w:rPr>
          <w:rFonts w:ascii="FrankRuehl" w:hAnsi="FrankRuehl" w:cs="FrankRuehl" w:hint="cs"/>
          <w:sz w:val="24"/>
          <w:szCs w:val="24"/>
          <w:rtl/>
        </w:rPr>
        <w:t>.</w:t>
      </w:r>
      <w:r w:rsidR="008F6E27" w:rsidRPr="00087E82">
        <w:rPr>
          <w:rFonts w:ascii="FrankRuehl" w:hAnsi="FrankRuehl" w:cs="FrankRuehl"/>
          <w:sz w:val="24"/>
          <w:szCs w:val="24"/>
          <w:rtl/>
        </w:rPr>
        <w:t xml:space="preserve"> ממצאיה לא יכלו להתגלות על ידי המשיבים לפני מ</w:t>
      </w:r>
      <w:r w:rsidR="00E7284B" w:rsidRPr="00087E82">
        <w:rPr>
          <w:rFonts w:ascii="FrankRuehl" w:hAnsi="FrankRuehl" w:cs="FrankRuehl"/>
          <w:sz w:val="24"/>
          <w:szCs w:val="24"/>
          <w:rtl/>
        </w:rPr>
        <w:t xml:space="preserve">ועד הגשת הדו"ח, </w:t>
      </w:r>
      <w:r w:rsidR="00E7284B" w:rsidRPr="00087E82">
        <w:rPr>
          <w:rFonts w:ascii="FrankRuehl" w:hAnsi="FrankRuehl" w:cs="FrankRuehl" w:hint="eastAsia"/>
          <w:sz w:val="24"/>
          <w:szCs w:val="24"/>
          <w:rtl/>
        </w:rPr>
        <w:t>או</w:t>
      </w:r>
      <w:r w:rsidR="008F6E27" w:rsidRPr="00087E82">
        <w:rPr>
          <w:rFonts w:ascii="FrankRuehl" w:hAnsi="FrankRuehl" w:cs="FrankRuehl"/>
          <w:sz w:val="24"/>
          <w:szCs w:val="24"/>
          <w:rtl/>
        </w:rPr>
        <w:t xml:space="preserve"> לפני מועד מתן פסק הדין. </w:t>
      </w:r>
      <w:r w:rsidR="008F6E27" w:rsidRPr="00087E82">
        <w:rPr>
          <w:rFonts w:ascii="FrankRuehl" w:hAnsi="FrankRuehl" w:cs="FrankRuehl"/>
          <w:sz w:val="24"/>
          <w:szCs w:val="24"/>
          <w:rtl/>
        </w:rPr>
        <w:lastRenderedPageBreak/>
        <w:t>כך, למשל, לא יכלו המשיבים לדעת</w:t>
      </w:r>
      <w:r w:rsidR="007D775F">
        <w:rPr>
          <w:rFonts w:ascii="FrankRuehl" w:hAnsi="FrankRuehl" w:cs="FrankRuehl" w:hint="cs"/>
          <w:sz w:val="24"/>
          <w:szCs w:val="24"/>
          <w:rtl/>
        </w:rPr>
        <w:t xml:space="preserve"> </w:t>
      </w:r>
      <w:r w:rsidR="008F6E27" w:rsidRPr="00087E82">
        <w:rPr>
          <w:rFonts w:ascii="FrankRuehl" w:hAnsi="FrankRuehl" w:cs="FrankRuehl"/>
          <w:sz w:val="24"/>
          <w:szCs w:val="24"/>
          <w:rtl/>
        </w:rPr>
        <w:t>את שהתגלה בדו"ח, כי אפשר והטעות התרחשה בשל שינוי בסדר כניסתן של המטופלות (המערערת והמשיבה) לחדר הטיפולים לצ</w:t>
      </w:r>
      <w:r w:rsidR="00E7284B" w:rsidRPr="00087E82">
        <w:rPr>
          <w:rFonts w:ascii="FrankRuehl" w:hAnsi="FrankRuehl" w:cs="FrankRuehl"/>
          <w:sz w:val="24"/>
          <w:szCs w:val="24"/>
          <w:rtl/>
        </w:rPr>
        <w:t xml:space="preserve">ורך החזרת העוברים המוקפאים. </w:t>
      </w:r>
      <w:r w:rsidR="007D775F" w:rsidRPr="00724AB1">
        <w:rPr>
          <w:rFonts w:ascii="FrankRuehl" w:hAnsi="FrankRuehl" w:cs="FrankRuehl"/>
          <w:sz w:val="24"/>
          <w:szCs w:val="24"/>
          <w:rtl/>
        </w:rPr>
        <w:t>בדו"ח</w:t>
      </w:r>
      <w:r w:rsidR="007D775F" w:rsidRPr="007D775F">
        <w:rPr>
          <w:rFonts w:ascii="FrankRuehl" w:hAnsi="FrankRuehl" w:cs="FrankRuehl"/>
          <w:sz w:val="24"/>
          <w:szCs w:val="24"/>
          <w:rtl/>
        </w:rPr>
        <w:t xml:space="preserve"> </w:t>
      </w:r>
      <w:r w:rsidR="007D775F">
        <w:rPr>
          <w:rFonts w:ascii="FrankRuehl" w:hAnsi="FrankRuehl" w:cs="FrankRuehl" w:hint="cs"/>
          <w:sz w:val="24"/>
          <w:szCs w:val="24"/>
          <w:rtl/>
        </w:rPr>
        <w:t xml:space="preserve">הובאו </w:t>
      </w:r>
      <w:r w:rsidR="008F6E27" w:rsidRPr="00087E82">
        <w:rPr>
          <w:rFonts w:ascii="FrankRuehl" w:hAnsi="FrankRuehl" w:cs="FrankRuehl"/>
          <w:sz w:val="24"/>
          <w:szCs w:val="24"/>
          <w:rtl/>
        </w:rPr>
        <w:t>פרטים נוספים</w:t>
      </w:r>
      <w:r w:rsidR="007D775F">
        <w:rPr>
          <w:rFonts w:ascii="FrankRuehl" w:hAnsi="FrankRuehl" w:cs="FrankRuehl" w:hint="cs"/>
          <w:sz w:val="24"/>
          <w:szCs w:val="24"/>
          <w:rtl/>
        </w:rPr>
        <w:t>,</w:t>
      </w:r>
      <w:r w:rsidR="008F6E27" w:rsidRPr="00087E82">
        <w:rPr>
          <w:rFonts w:ascii="FrankRuehl" w:hAnsi="FrankRuehl" w:cs="FrankRuehl"/>
          <w:sz w:val="24"/>
          <w:szCs w:val="24"/>
          <w:rtl/>
        </w:rPr>
        <w:t xml:space="preserve"> </w:t>
      </w:r>
      <w:r w:rsidR="007D775F">
        <w:rPr>
          <w:rFonts w:ascii="FrankRuehl" w:hAnsi="FrankRuehl" w:cs="FrankRuehl" w:hint="cs"/>
          <w:sz w:val="24"/>
          <w:szCs w:val="24"/>
          <w:rtl/>
        </w:rPr>
        <w:t>ש</w:t>
      </w:r>
      <w:r w:rsidR="008F6E27" w:rsidRPr="00087E82">
        <w:rPr>
          <w:rFonts w:ascii="FrankRuehl" w:hAnsi="FrankRuehl" w:cs="FrankRuehl"/>
          <w:sz w:val="24"/>
          <w:szCs w:val="24"/>
          <w:rtl/>
        </w:rPr>
        <w:t>לא יכלו להיות בידיעת המשיבים, אלא בגדר "עדות שמועה" בלבד שממילא לא ה</w:t>
      </w:r>
      <w:r w:rsidRPr="00087E82">
        <w:rPr>
          <w:rFonts w:ascii="FrankRuehl" w:hAnsi="FrankRuehl" w:cs="FrankRuehl" w:hint="eastAsia"/>
          <w:sz w:val="24"/>
          <w:szCs w:val="24"/>
          <w:rtl/>
        </w:rPr>
        <w:t>י</w:t>
      </w:r>
      <w:r w:rsidR="008F6E27" w:rsidRPr="00087E82">
        <w:rPr>
          <w:rFonts w:ascii="FrankRuehl" w:hAnsi="FrankRuehl" w:cs="FrankRuehl"/>
          <w:sz w:val="24"/>
          <w:szCs w:val="24"/>
          <w:rtl/>
        </w:rPr>
        <w:t>יתה מתקבלת.</w:t>
      </w:r>
    </w:p>
    <w:p w:rsidR="008F6E27" w:rsidRPr="00087E82" w:rsidRDefault="007C6202" w:rsidP="00087E82">
      <w:pPr>
        <w:spacing w:after="0" w:line="360" w:lineRule="auto"/>
        <w:jc w:val="both"/>
        <w:rPr>
          <w:rFonts w:ascii="FrankRuehl" w:hAnsi="FrankRuehl" w:cs="FrankRuehl"/>
          <w:sz w:val="24"/>
          <w:szCs w:val="24"/>
          <w:rtl/>
        </w:rPr>
      </w:pPr>
      <w:r w:rsidRPr="00087E82">
        <w:rPr>
          <w:rFonts w:ascii="FrankRuehl" w:hAnsi="FrankRuehl" w:cs="FrankRuehl" w:hint="eastAsia"/>
          <w:sz w:val="24"/>
          <w:szCs w:val="24"/>
          <w:rtl/>
        </w:rPr>
        <w:t>עוד</w:t>
      </w:r>
      <w:r w:rsidRPr="00087E82">
        <w:rPr>
          <w:rFonts w:ascii="FrankRuehl" w:hAnsi="FrankRuehl" w:cs="FrankRuehl"/>
          <w:sz w:val="24"/>
          <w:szCs w:val="24"/>
          <w:rtl/>
        </w:rPr>
        <w:t xml:space="preserve"> </w:t>
      </w:r>
      <w:r w:rsidR="008F6E27" w:rsidRPr="00087E82">
        <w:rPr>
          <w:rFonts w:ascii="FrankRuehl" w:hAnsi="FrankRuehl" w:cs="FrankRuehl"/>
          <w:sz w:val="24"/>
          <w:szCs w:val="24"/>
          <w:rtl/>
        </w:rPr>
        <w:t xml:space="preserve">נקבע כי אין להחיל את דוקטרינת </w:t>
      </w:r>
      <w:proofErr w:type="spellStart"/>
      <w:r w:rsidR="008F6E27" w:rsidRPr="00087E82">
        <w:rPr>
          <w:rFonts w:ascii="FrankRuehl" w:hAnsi="FrankRuehl" w:cs="FrankRuehl"/>
          <w:sz w:val="24"/>
          <w:szCs w:val="24"/>
          <w:rtl/>
        </w:rPr>
        <w:t>ההשתק</w:t>
      </w:r>
      <w:proofErr w:type="spellEnd"/>
      <w:r w:rsidR="008F6E27" w:rsidRPr="00087E82">
        <w:rPr>
          <w:rFonts w:ascii="FrankRuehl" w:hAnsi="FrankRuehl" w:cs="FrankRuehl"/>
          <w:sz w:val="24"/>
          <w:szCs w:val="24"/>
          <w:rtl/>
        </w:rPr>
        <w:t xml:space="preserve"> על המשיבים, רק משום שבהליכים קודמים ראו עצמם כבעל</w:t>
      </w:r>
      <w:r w:rsidR="00E7284B" w:rsidRPr="00087E82">
        <w:rPr>
          <w:rFonts w:ascii="FrankRuehl" w:hAnsi="FrankRuehl" w:cs="FrankRuehl" w:hint="eastAsia"/>
          <w:sz w:val="24"/>
          <w:szCs w:val="24"/>
          <w:rtl/>
        </w:rPr>
        <w:t>י</w:t>
      </w:r>
      <w:r w:rsidR="008F6E27" w:rsidRPr="00087E82">
        <w:rPr>
          <w:rFonts w:ascii="FrankRuehl" w:hAnsi="FrankRuehl" w:cs="FrankRuehl"/>
          <w:sz w:val="24"/>
          <w:szCs w:val="24"/>
          <w:rtl/>
        </w:rPr>
        <w:t xml:space="preserve"> סיכויים שווים לחמש מטופלות אחרות</w:t>
      </w:r>
      <w:r w:rsidR="007D775F">
        <w:rPr>
          <w:rFonts w:ascii="FrankRuehl" w:hAnsi="FrankRuehl" w:cs="FrankRuehl" w:hint="cs"/>
          <w:sz w:val="24"/>
          <w:szCs w:val="24"/>
          <w:rtl/>
        </w:rPr>
        <w:t>.</w:t>
      </w:r>
      <w:r w:rsidR="008F6E27" w:rsidRPr="00087E82">
        <w:rPr>
          <w:rFonts w:ascii="FrankRuehl" w:hAnsi="FrankRuehl" w:cs="FrankRuehl"/>
          <w:sz w:val="24"/>
          <w:szCs w:val="24"/>
          <w:rtl/>
        </w:rPr>
        <w:t xml:space="preserve"> כעת נטען כי להם סיכויים גבוהים יותר לקשרי משפחה עם התינוקת,</w:t>
      </w:r>
      <w:r w:rsidR="00087E82">
        <w:rPr>
          <w:rFonts w:ascii="FrankRuehl" w:hAnsi="FrankRuehl" w:cs="FrankRuehl" w:hint="cs"/>
          <w:sz w:val="24"/>
          <w:szCs w:val="24"/>
          <w:rtl/>
        </w:rPr>
        <w:t xml:space="preserve"> </w:t>
      </w:r>
      <w:r w:rsidR="008F6E27" w:rsidRPr="00087E82">
        <w:rPr>
          <w:rFonts w:ascii="FrankRuehl" w:hAnsi="FrankRuehl" w:cs="FrankRuehl"/>
          <w:sz w:val="24"/>
          <w:szCs w:val="24"/>
          <w:rtl/>
        </w:rPr>
        <w:t>מהטעם שרק לאחר הגשת הדו"ח נודעו להם סיכוייהם להתאמה גנטית, כמפורט לעיל.</w:t>
      </w:r>
    </w:p>
    <w:p w:rsidR="008F6E27" w:rsidRPr="00087E82" w:rsidRDefault="007C6202" w:rsidP="00087E82">
      <w:pPr>
        <w:spacing w:after="0" w:line="360" w:lineRule="auto"/>
        <w:jc w:val="both"/>
        <w:rPr>
          <w:rFonts w:ascii="FrankRuehl" w:hAnsi="FrankRuehl" w:cs="FrankRuehl"/>
          <w:sz w:val="24"/>
          <w:szCs w:val="24"/>
          <w:rtl/>
        </w:rPr>
      </w:pPr>
      <w:r w:rsidRPr="00087E82">
        <w:rPr>
          <w:rFonts w:ascii="FrankRuehl" w:hAnsi="FrankRuehl" w:cs="FrankRuehl" w:hint="eastAsia"/>
          <w:sz w:val="24"/>
          <w:szCs w:val="24"/>
          <w:rtl/>
        </w:rPr>
        <w:t>כך</w:t>
      </w:r>
      <w:r w:rsidRPr="00087E82">
        <w:rPr>
          <w:rFonts w:ascii="FrankRuehl" w:hAnsi="FrankRuehl" w:cs="FrankRuehl"/>
          <w:sz w:val="24"/>
          <w:szCs w:val="24"/>
          <w:rtl/>
        </w:rPr>
        <w:t xml:space="preserve"> נדחתה הטענה </w:t>
      </w:r>
      <w:r w:rsidR="008F6E27" w:rsidRPr="00087E82">
        <w:rPr>
          <w:rFonts w:ascii="FrankRuehl" w:hAnsi="FrankRuehl" w:cs="FrankRuehl"/>
          <w:sz w:val="24"/>
          <w:szCs w:val="24"/>
          <w:rtl/>
        </w:rPr>
        <w:t>לפיה המשיבים לא שקדו "שקידה סבירה" להביא את ראיותיהם</w:t>
      </w:r>
      <w:r w:rsidR="007D775F">
        <w:rPr>
          <w:rFonts w:ascii="FrankRuehl" w:hAnsi="FrankRuehl" w:cs="FrankRuehl" w:hint="cs"/>
          <w:sz w:val="24"/>
          <w:szCs w:val="24"/>
          <w:rtl/>
        </w:rPr>
        <w:t>,</w:t>
      </w:r>
      <w:r w:rsidR="008F6E27" w:rsidRPr="00087E82">
        <w:rPr>
          <w:rFonts w:ascii="FrankRuehl" w:hAnsi="FrankRuehl" w:cs="FrankRuehl"/>
          <w:sz w:val="24"/>
          <w:szCs w:val="24"/>
          <w:rtl/>
        </w:rPr>
        <w:t xml:space="preserve"> דוגמת דו"ח ועדת הבדיקה</w:t>
      </w:r>
      <w:r w:rsidR="007D775F">
        <w:rPr>
          <w:rFonts w:ascii="FrankRuehl" w:hAnsi="FrankRuehl" w:cs="FrankRuehl" w:hint="cs"/>
          <w:sz w:val="24"/>
          <w:szCs w:val="24"/>
          <w:rtl/>
        </w:rPr>
        <w:t>,</w:t>
      </w:r>
      <w:r w:rsidR="008F6E27" w:rsidRPr="00087E82">
        <w:rPr>
          <w:rFonts w:ascii="FrankRuehl" w:hAnsi="FrankRuehl" w:cs="FrankRuehl"/>
          <w:sz w:val="24"/>
          <w:szCs w:val="24"/>
          <w:rtl/>
        </w:rPr>
        <w:t xml:space="preserve"> עובר לבירור המשפטי ומתן פסק הדין, מהטעם שהמשיבים לא יכלו לדעת את מועד פרסום הדו"ח</w:t>
      </w:r>
      <w:r w:rsidR="007D775F">
        <w:rPr>
          <w:rFonts w:ascii="FrankRuehl" w:hAnsi="FrankRuehl" w:cs="FrankRuehl" w:hint="cs"/>
          <w:sz w:val="24"/>
          <w:szCs w:val="24"/>
          <w:rtl/>
        </w:rPr>
        <w:t xml:space="preserve">. </w:t>
      </w:r>
      <w:r w:rsidR="008F6E27" w:rsidRPr="00087E82">
        <w:rPr>
          <w:rFonts w:ascii="FrankRuehl" w:hAnsi="FrankRuehl" w:cs="FrankRuehl"/>
          <w:sz w:val="24"/>
          <w:szCs w:val="24"/>
          <w:rtl/>
        </w:rPr>
        <w:t xml:space="preserve">ואכן </w:t>
      </w:r>
      <w:r w:rsidR="00B97480" w:rsidRPr="00087E82">
        <w:rPr>
          <w:rFonts w:ascii="FrankRuehl" w:hAnsi="FrankRuehl" w:cs="FrankRuehl"/>
          <w:sz w:val="24"/>
          <w:szCs w:val="24"/>
          <w:rtl/>
        </w:rPr>
        <w:t xml:space="preserve">במסגרת הדיונים הקודמים </w:t>
      </w:r>
      <w:r w:rsidR="008F6E27" w:rsidRPr="00087E82">
        <w:rPr>
          <w:rFonts w:ascii="FrankRuehl" w:hAnsi="FrankRuehl" w:cs="FrankRuehl"/>
          <w:sz w:val="24"/>
          <w:szCs w:val="24"/>
          <w:rtl/>
        </w:rPr>
        <w:t>לא הסכימו להמתין לו נוכח הדחיפות העולה ממהות העניין לגלות את הוריה הגנטיים של התינ</w:t>
      </w:r>
      <w:r w:rsidR="00B97480" w:rsidRPr="00087E82">
        <w:rPr>
          <w:rFonts w:ascii="FrankRuehl" w:hAnsi="FrankRuehl" w:cs="FrankRuehl"/>
          <w:sz w:val="24"/>
          <w:szCs w:val="24"/>
          <w:rtl/>
        </w:rPr>
        <w:t>וקת בהקדם האפשרי ולטובתה</w:t>
      </w:r>
      <w:r w:rsidR="007D775F">
        <w:rPr>
          <w:rFonts w:ascii="FrankRuehl" w:hAnsi="FrankRuehl" w:cs="FrankRuehl" w:hint="cs"/>
          <w:sz w:val="24"/>
          <w:szCs w:val="24"/>
          <w:rtl/>
        </w:rPr>
        <w:t>,</w:t>
      </w:r>
      <w:r w:rsidR="00B97480" w:rsidRPr="00087E82">
        <w:rPr>
          <w:rFonts w:ascii="FrankRuehl" w:hAnsi="FrankRuehl" w:cs="FrankRuehl"/>
          <w:sz w:val="24"/>
          <w:szCs w:val="24"/>
          <w:rtl/>
        </w:rPr>
        <w:t xml:space="preserve"> וכאשר</w:t>
      </w:r>
      <w:r w:rsidR="008F6E27" w:rsidRPr="00087E82">
        <w:rPr>
          <w:rFonts w:ascii="FrankRuehl" w:hAnsi="FrankRuehl" w:cs="FrankRuehl"/>
          <w:sz w:val="24"/>
          <w:szCs w:val="24"/>
          <w:rtl/>
        </w:rPr>
        <w:t xml:space="preserve"> לגורם הזמן משמעות עצומה בכל הקשור לקביעות הנוגעות ל</w:t>
      </w:r>
      <w:r w:rsidR="007D775F">
        <w:rPr>
          <w:rFonts w:ascii="FrankRuehl" w:hAnsi="FrankRuehl" w:cs="FrankRuehl" w:hint="cs"/>
          <w:sz w:val="24"/>
          <w:szCs w:val="24"/>
          <w:rtl/>
        </w:rPr>
        <w:t>תינוקת</w:t>
      </w:r>
      <w:r w:rsidR="008F6E27" w:rsidRPr="00087E82">
        <w:rPr>
          <w:rFonts w:ascii="FrankRuehl" w:hAnsi="FrankRuehl" w:cs="FrankRuehl"/>
          <w:sz w:val="24"/>
          <w:szCs w:val="24"/>
          <w:rtl/>
        </w:rPr>
        <w:t>.</w:t>
      </w:r>
    </w:p>
    <w:p w:rsidR="008F6E27" w:rsidRPr="00087E82" w:rsidRDefault="008F6E27" w:rsidP="00087E82">
      <w:pPr>
        <w:spacing w:after="0" w:line="360" w:lineRule="auto"/>
        <w:jc w:val="both"/>
        <w:rPr>
          <w:rFonts w:ascii="FrankRuehl" w:hAnsi="FrankRuehl" w:cs="FrankRuehl"/>
          <w:sz w:val="24"/>
          <w:szCs w:val="24"/>
          <w:rtl/>
        </w:rPr>
      </w:pPr>
      <w:r w:rsidRPr="00087E82">
        <w:rPr>
          <w:rFonts w:ascii="FrankRuehl" w:hAnsi="FrankRuehl" w:cs="FrankRuehl"/>
          <w:sz w:val="24"/>
          <w:szCs w:val="24"/>
          <w:rtl/>
        </w:rPr>
        <w:t xml:space="preserve">נקבע כי </w:t>
      </w:r>
      <w:r w:rsidR="00B97480" w:rsidRPr="00087E82">
        <w:rPr>
          <w:rFonts w:ascii="FrankRuehl" w:hAnsi="FrankRuehl" w:cs="FrankRuehl"/>
          <w:sz w:val="24"/>
          <w:szCs w:val="24"/>
          <w:rtl/>
        </w:rPr>
        <w:t xml:space="preserve">המסקנה העולה </w:t>
      </w:r>
      <w:r w:rsidRPr="00087E82">
        <w:rPr>
          <w:rFonts w:ascii="FrankRuehl" w:hAnsi="FrankRuehl" w:cs="FrankRuehl"/>
          <w:sz w:val="24"/>
          <w:szCs w:val="24"/>
          <w:rtl/>
        </w:rPr>
        <w:t>מדו</w:t>
      </w:r>
      <w:r w:rsidR="00B97480" w:rsidRPr="00087E82">
        <w:rPr>
          <w:rFonts w:ascii="FrankRuehl" w:hAnsi="FrankRuehl" w:cs="FrankRuehl"/>
          <w:sz w:val="24"/>
          <w:szCs w:val="24"/>
          <w:rtl/>
        </w:rPr>
        <w:t>"</w:t>
      </w:r>
      <w:r w:rsidRPr="00087E82">
        <w:rPr>
          <w:rFonts w:ascii="FrankRuehl" w:hAnsi="FrankRuehl" w:cs="FrankRuehl"/>
          <w:sz w:val="24"/>
          <w:szCs w:val="24"/>
          <w:rtl/>
        </w:rPr>
        <w:t xml:space="preserve">ח ועדת הבדיקה </w:t>
      </w:r>
      <w:r w:rsidR="00B97480" w:rsidRPr="00087E82">
        <w:rPr>
          <w:rFonts w:ascii="FrankRuehl" w:hAnsi="FrankRuehl" w:cs="FrankRuehl"/>
          <w:sz w:val="24"/>
          <w:szCs w:val="24"/>
          <w:rtl/>
        </w:rPr>
        <w:t>הינה</w:t>
      </w:r>
      <w:r w:rsidRPr="00087E82">
        <w:rPr>
          <w:rFonts w:ascii="FrankRuehl" w:hAnsi="FrankRuehl" w:cs="FrankRuehl"/>
          <w:sz w:val="24"/>
          <w:szCs w:val="24"/>
          <w:rtl/>
        </w:rPr>
        <w:t xml:space="preserve"> כי רף ה"סיכוי הסביר" הנדרש לצורך עריכת הבדיקה עלה</w:t>
      </w:r>
      <w:r w:rsidR="00B97480" w:rsidRPr="00087E82">
        <w:rPr>
          <w:rFonts w:ascii="FrankRuehl" w:hAnsi="FrankRuehl" w:cs="FrankRuehl"/>
          <w:sz w:val="24"/>
          <w:szCs w:val="24"/>
          <w:rtl/>
        </w:rPr>
        <w:t>,</w:t>
      </w:r>
      <w:r w:rsidRPr="00087E82">
        <w:rPr>
          <w:rFonts w:ascii="FrankRuehl" w:hAnsi="FrankRuehl" w:cs="FrankRuehl"/>
          <w:sz w:val="24"/>
          <w:szCs w:val="24"/>
          <w:rtl/>
        </w:rPr>
        <w:t xml:space="preserve"> ואינו </w:t>
      </w:r>
      <w:r w:rsidR="00B97480" w:rsidRPr="00087E82">
        <w:rPr>
          <w:rFonts w:ascii="FrankRuehl" w:hAnsi="FrankRuehl" w:cs="FrankRuehl"/>
          <w:sz w:val="24"/>
          <w:szCs w:val="24"/>
          <w:rtl/>
        </w:rPr>
        <w:t xml:space="preserve">עוד </w:t>
      </w:r>
      <w:r w:rsidRPr="00087E82">
        <w:rPr>
          <w:rFonts w:ascii="FrankRuehl" w:hAnsi="FrankRuehl" w:cs="FrankRuehl"/>
          <w:sz w:val="24"/>
          <w:szCs w:val="24"/>
          <w:rtl/>
        </w:rPr>
        <w:t>כפי שנקבע בפסק דינו של בית המשפט העליון (4.5 אחוז בלבד)</w:t>
      </w:r>
      <w:r w:rsidR="00B97480" w:rsidRPr="00087E82">
        <w:rPr>
          <w:rFonts w:ascii="FrankRuehl" w:hAnsi="FrankRuehl" w:cs="FrankRuehl"/>
          <w:sz w:val="24"/>
          <w:szCs w:val="24"/>
          <w:rtl/>
        </w:rPr>
        <w:t xml:space="preserve">. </w:t>
      </w:r>
      <w:r w:rsidRPr="00087E82">
        <w:rPr>
          <w:rFonts w:ascii="FrankRuehl" w:hAnsi="FrankRuehl" w:cs="FrankRuehl"/>
          <w:sz w:val="24"/>
          <w:szCs w:val="24"/>
          <w:rtl/>
        </w:rPr>
        <w:t>זאת לאחר שנמצא כי ס</w:t>
      </w:r>
      <w:r w:rsidR="00B97480" w:rsidRPr="00087E82">
        <w:rPr>
          <w:rFonts w:ascii="FrankRuehl" w:hAnsi="FrankRuehl" w:cs="FrankRuehl"/>
          <w:sz w:val="24"/>
          <w:szCs w:val="24"/>
          <w:rtl/>
        </w:rPr>
        <w:t xml:space="preserve">יכויי המשיבים לקשר גנטי הינם למעלה מפי ארבעה ביחס לרובן של מטופלות האחרות (המדרג </w:t>
      </w:r>
      <w:r w:rsidR="007D775F" w:rsidRPr="00087E82">
        <w:rPr>
          <w:rFonts w:ascii="FrankRuehl" w:hAnsi="FrankRuehl" w:cs="FrankRuehl" w:hint="eastAsia"/>
          <w:sz w:val="24"/>
          <w:szCs w:val="24"/>
          <w:rtl/>
        </w:rPr>
        <w:t>המדויק</w:t>
      </w:r>
      <w:r w:rsidR="00B97480" w:rsidRPr="00087E82">
        <w:rPr>
          <w:rFonts w:ascii="FrankRuehl" w:hAnsi="FrankRuehl" w:cs="FrankRuehl"/>
          <w:sz w:val="24"/>
          <w:szCs w:val="24"/>
          <w:rtl/>
        </w:rPr>
        <w:t xml:space="preserve"> </w:t>
      </w:r>
      <w:r w:rsidR="007D775F" w:rsidRPr="00087E82">
        <w:rPr>
          <w:rFonts w:ascii="FrankRuehl" w:hAnsi="FrankRuehl" w:cs="FrankRuehl" w:hint="eastAsia"/>
          <w:sz w:val="24"/>
          <w:szCs w:val="24"/>
          <w:rtl/>
        </w:rPr>
        <w:t>מצוין</w:t>
      </w:r>
      <w:r w:rsidR="00B97480" w:rsidRPr="00087E82">
        <w:rPr>
          <w:rFonts w:ascii="FrankRuehl" w:hAnsi="FrankRuehl" w:cs="FrankRuehl"/>
          <w:sz w:val="24"/>
          <w:szCs w:val="24"/>
          <w:rtl/>
        </w:rPr>
        <w:t xml:space="preserve"> בדו"ח וועדת הבדיקה ובפסק הדין).</w:t>
      </w:r>
    </w:p>
    <w:p w:rsidR="00B97480" w:rsidRPr="00087E82" w:rsidRDefault="00B97480" w:rsidP="00087E82">
      <w:pPr>
        <w:spacing w:after="0" w:line="360" w:lineRule="auto"/>
        <w:jc w:val="both"/>
        <w:rPr>
          <w:rFonts w:ascii="FrankRuehl" w:hAnsi="FrankRuehl" w:cs="FrankRuehl"/>
          <w:sz w:val="24"/>
          <w:szCs w:val="24"/>
          <w:rtl/>
        </w:rPr>
      </w:pPr>
      <w:r w:rsidRPr="00087E82">
        <w:rPr>
          <w:rFonts w:ascii="FrankRuehl" w:hAnsi="FrankRuehl" w:cs="FrankRuehl"/>
          <w:sz w:val="24"/>
          <w:szCs w:val="24"/>
          <w:rtl/>
        </w:rPr>
        <w:t>בנסיבות האמורות, הותר למשיבים לערוך את הבדיקה.</w:t>
      </w:r>
    </w:p>
    <w:p w:rsidR="008F6E27" w:rsidRPr="00087E82" w:rsidRDefault="008F6E27" w:rsidP="00087E82">
      <w:pPr>
        <w:spacing w:after="0" w:line="360" w:lineRule="auto"/>
        <w:jc w:val="both"/>
        <w:rPr>
          <w:rFonts w:ascii="FrankRuehl" w:hAnsi="FrankRuehl" w:cs="FrankRuehl"/>
          <w:sz w:val="24"/>
          <w:szCs w:val="24"/>
          <w:rtl/>
        </w:rPr>
      </w:pPr>
    </w:p>
    <w:p w:rsidR="008F6E27" w:rsidRPr="00087E82" w:rsidRDefault="008F6E27" w:rsidP="00087E82">
      <w:pPr>
        <w:spacing w:after="0" w:line="360" w:lineRule="auto"/>
        <w:jc w:val="both"/>
        <w:rPr>
          <w:rFonts w:ascii="FrankRuehl" w:hAnsi="FrankRuehl" w:cs="FrankRuehl"/>
          <w:sz w:val="24"/>
          <w:szCs w:val="24"/>
          <w:rtl/>
        </w:rPr>
      </w:pPr>
    </w:p>
    <w:p w:rsidR="008F6E27" w:rsidRPr="00087E82" w:rsidRDefault="008F6E27" w:rsidP="00087E82">
      <w:pPr>
        <w:spacing w:after="0" w:line="360" w:lineRule="auto"/>
        <w:jc w:val="both"/>
        <w:rPr>
          <w:rFonts w:ascii="FrankRuehl" w:hAnsi="FrankRuehl" w:cs="FrankRuehl"/>
          <w:sz w:val="24"/>
          <w:szCs w:val="24"/>
          <w:rtl/>
        </w:rPr>
      </w:pPr>
    </w:p>
    <w:p w:rsidR="00993515" w:rsidRPr="001F30F5" w:rsidRDefault="00993515" w:rsidP="00993515">
      <w:pPr>
        <w:spacing w:after="120" w:line="360" w:lineRule="auto"/>
        <w:jc w:val="center"/>
        <w:rPr>
          <w:rFonts w:ascii="FrankRuehl" w:hAnsi="FrankRuehl" w:cs="FrankRuehl"/>
          <w:b/>
          <w:bCs/>
          <w:color w:val="17365D"/>
          <w:sz w:val="26"/>
          <w:szCs w:val="26"/>
        </w:rPr>
      </w:pPr>
      <w:r w:rsidRPr="001F30F5">
        <w:rPr>
          <w:rFonts w:ascii="FrankRuehl" w:hAnsi="FrankRuehl" w:cs="FrankRuehl" w:hint="cs"/>
          <w:b/>
          <w:bCs/>
          <w:color w:val="17365D"/>
          <w:sz w:val="26"/>
          <w:szCs w:val="26"/>
          <w:rtl/>
        </w:rPr>
        <w:t xml:space="preserve">*** </w:t>
      </w:r>
      <w:r w:rsidRPr="001F30F5">
        <w:rPr>
          <w:rFonts w:ascii="FrankRuehl" w:hAnsi="FrankRuehl" w:cs="FrankRuehl"/>
          <w:b/>
          <w:bCs/>
          <w:color w:val="17365D"/>
          <w:sz w:val="26"/>
          <w:szCs w:val="26"/>
          <w:rtl/>
        </w:rPr>
        <w:t>התקציר אינו בא להחליף את פסק</w:t>
      </w:r>
      <w:r w:rsidRPr="001F30F5">
        <w:rPr>
          <w:rFonts w:ascii="FrankRuehl" w:hAnsi="FrankRuehl" w:cs="FrankRuehl" w:hint="cs"/>
          <w:b/>
          <w:bCs/>
          <w:color w:val="17365D"/>
          <w:sz w:val="26"/>
          <w:szCs w:val="26"/>
          <w:rtl/>
        </w:rPr>
        <w:t>-</w:t>
      </w:r>
      <w:r w:rsidRPr="001F30F5">
        <w:rPr>
          <w:rFonts w:ascii="FrankRuehl" w:hAnsi="FrankRuehl" w:cs="FrankRuehl"/>
          <w:b/>
          <w:bCs/>
          <w:color w:val="17365D"/>
          <w:sz w:val="26"/>
          <w:szCs w:val="26"/>
          <w:rtl/>
        </w:rPr>
        <w:t>הדין, הנוסח המחייב הוא זה של פסק-הדין המלא</w:t>
      </w:r>
      <w:r w:rsidRPr="001F30F5">
        <w:rPr>
          <w:rFonts w:ascii="FrankRuehl" w:hAnsi="FrankRuehl" w:cs="FrankRuehl" w:hint="cs"/>
          <w:b/>
          <w:bCs/>
          <w:color w:val="17365D"/>
          <w:sz w:val="26"/>
          <w:szCs w:val="26"/>
          <w:rtl/>
        </w:rPr>
        <w:t xml:space="preserve"> ***</w:t>
      </w:r>
    </w:p>
    <w:p w:rsidR="008F6E27" w:rsidRPr="00993515" w:rsidRDefault="008F6E27" w:rsidP="00087E82">
      <w:pPr>
        <w:spacing w:after="0" w:line="360" w:lineRule="auto"/>
        <w:jc w:val="both"/>
        <w:rPr>
          <w:rFonts w:ascii="FrankRuehl" w:hAnsi="FrankRuehl" w:cs="FrankRuehl"/>
          <w:sz w:val="24"/>
          <w:szCs w:val="24"/>
        </w:rPr>
      </w:pPr>
    </w:p>
    <w:sectPr w:rsidR="008F6E27" w:rsidRPr="00993515" w:rsidSect="00556037">
      <w:headerReference w:type="default" r:id="rId7"/>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3515" w:rsidRDefault="00993515" w:rsidP="00993515">
      <w:pPr>
        <w:spacing w:after="0" w:line="240" w:lineRule="auto"/>
      </w:pPr>
      <w:r>
        <w:separator/>
      </w:r>
    </w:p>
  </w:endnote>
  <w:endnote w:type="continuationSeparator" w:id="0">
    <w:p w:rsidR="00993515" w:rsidRDefault="00993515" w:rsidP="009935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3515" w:rsidRDefault="00993515" w:rsidP="00993515">
      <w:pPr>
        <w:spacing w:after="0" w:line="240" w:lineRule="auto"/>
      </w:pPr>
      <w:r>
        <w:separator/>
      </w:r>
    </w:p>
  </w:footnote>
  <w:footnote w:type="continuationSeparator" w:id="0">
    <w:p w:rsidR="00993515" w:rsidRDefault="00993515" w:rsidP="0099351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3515" w:rsidRDefault="00993515" w:rsidP="00993515">
    <w:pPr>
      <w:pStyle w:val="a5"/>
      <w:jc w:val="center"/>
    </w:pPr>
    <w:r>
      <w:rPr>
        <w:noProof/>
      </w:rPr>
      <w:drawing>
        <wp:inline distT="0" distB="0" distL="0" distR="0">
          <wp:extent cx="512445" cy="575310"/>
          <wp:effectExtent l="0" t="0" r="1905" b="0"/>
          <wp:docPr id="1" name="תמונה 1" descr="Meno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no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2445" cy="575310"/>
                  </a:xfrm>
                  <a:prstGeom prst="rect">
                    <a:avLst/>
                  </a:prstGeom>
                  <a:noFill/>
                  <a:ln>
                    <a:noFill/>
                  </a:ln>
                </pic:spPr>
              </pic:pic>
            </a:graphicData>
          </a:graphic>
        </wp:inline>
      </w:drawing>
    </w:r>
  </w:p>
  <w:tbl>
    <w:tblPr>
      <w:bidiVisual/>
      <w:tblW w:w="0" w:type="auto"/>
      <w:jc w:val="center"/>
      <w:tblLook w:val="04A0" w:firstRow="1" w:lastRow="0" w:firstColumn="1" w:lastColumn="0" w:noHBand="0" w:noVBand="1"/>
    </w:tblPr>
    <w:tblGrid>
      <w:gridCol w:w="8306"/>
    </w:tblGrid>
    <w:tr w:rsidR="00993515" w:rsidTr="00993515">
      <w:trPr>
        <w:trHeight w:val="418"/>
        <w:jc w:val="center"/>
      </w:trPr>
      <w:sdt>
        <w:sdtPr>
          <w:rPr>
            <w:rtl/>
          </w:rPr>
          <w:alias w:val="162"/>
          <w:tag w:val="162"/>
          <w:id w:val="1282998781"/>
          <w:text w:multiLine="1"/>
        </w:sdtPr>
        <w:sdtEndPr/>
        <w:sdtContent>
          <w:tc>
            <w:tcPr>
              <w:tcW w:w="8504" w:type="dxa"/>
              <w:hideMark/>
            </w:tcPr>
            <w:p w:rsidR="00993515" w:rsidRDefault="00993515" w:rsidP="00993515">
              <w:pPr>
                <w:pStyle w:val="a5"/>
                <w:jc w:val="center"/>
                <w:rPr>
                  <w:rtl/>
                </w:rPr>
              </w:pPr>
              <w:r>
                <w:rPr>
                  <w:rFonts w:ascii="Tahoma" w:hAnsi="Tahoma" w:cs="Tahoma"/>
                  <w:b/>
                  <w:bCs/>
                  <w:color w:val="000080"/>
                  <w:sz w:val="20"/>
                  <w:szCs w:val="20"/>
                  <w:rtl/>
                </w:rPr>
                <w:t>בית המשפט המחוזי מרכז-לוד</w:t>
              </w:r>
            </w:p>
          </w:tc>
        </w:sdtContent>
      </w:sdt>
    </w:tr>
  </w:tbl>
  <w:p w:rsidR="00993515" w:rsidRDefault="00993515" w:rsidP="00993515">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1"/>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6E27"/>
    <w:rsid w:val="00087E82"/>
    <w:rsid w:val="004630CA"/>
    <w:rsid w:val="00556037"/>
    <w:rsid w:val="00671B3D"/>
    <w:rsid w:val="00685B9C"/>
    <w:rsid w:val="007C6202"/>
    <w:rsid w:val="007C6DAA"/>
    <w:rsid w:val="007D775F"/>
    <w:rsid w:val="008F6E27"/>
    <w:rsid w:val="00993515"/>
    <w:rsid w:val="00A43906"/>
    <w:rsid w:val="00B118CD"/>
    <w:rsid w:val="00B97480"/>
    <w:rsid w:val="00D92B93"/>
    <w:rsid w:val="00E7284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28E698"/>
  <w15:chartTrackingRefBased/>
  <w15:docId w15:val="{606FCF63-3F20-4432-84AE-461D2CE9B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97480"/>
    <w:pPr>
      <w:spacing w:after="0" w:line="240" w:lineRule="auto"/>
    </w:pPr>
    <w:rPr>
      <w:rFonts w:ascii="Tahoma" w:hAnsi="Tahoma" w:cs="Tahoma"/>
      <w:sz w:val="18"/>
      <w:szCs w:val="18"/>
    </w:rPr>
  </w:style>
  <w:style w:type="character" w:customStyle="1" w:styleId="a4">
    <w:name w:val="טקסט בלונים תו"/>
    <w:basedOn w:val="a0"/>
    <w:link w:val="a3"/>
    <w:uiPriority w:val="99"/>
    <w:semiHidden/>
    <w:rsid w:val="00B97480"/>
    <w:rPr>
      <w:rFonts w:ascii="Tahoma" w:hAnsi="Tahoma" w:cs="Tahoma"/>
      <w:sz w:val="18"/>
      <w:szCs w:val="18"/>
    </w:rPr>
  </w:style>
  <w:style w:type="paragraph" w:styleId="a5">
    <w:name w:val="header"/>
    <w:basedOn w:val="a"/>
    <w:link w:val="a6"/>
    <w:unhideWhenUsed/>
    <w:rsid w:val="00993515"/>
    <w:pPr>
      <w:tabs>
        <w:tab w:val="center" w:pos="4153"/>
        <w:tab w:val="right" w:pos="8306"/>
      </w:tabs>
      <w:spacing w:after="0" w:line="240" w:lineRule="auto"/>
    </w:pPr>
  </w:style>
  <w:style w:type="character" w:customStyle="1" w:styleId="a6">
    <w:name w:val="כותרת עליונה תו"/>
    <w:basedOn w:val="a0"/>
    <w:link w:val="a5"/>
    <w:rsid w:val="00993515"/>
  </w:style>
  <w:style w:type="paragraph" w:styleId="a7">
    <w:name w:val="footer"/>
    <w:basedOn w:val="a"/>
    <w:link w:val="a8"/>
    <w:uiPriority w:val="99"/>
    <w:unhideWhenUsed/>
    <w:rsid w:val="00993515"/>
    <w:pPr>
      <w:tabs>
        <w:tab w:val="center" w:pos="4153"/>
        <w:tab w:val="right" w:pos="8306"/>
      </w:tabs>
      <w:spacing w:after="0" w:line="240" w:lineRule="auto"/>
    </w:pPr>
  </w:style>
  <w:style w:type="character" w:customStyle="1" w:styleId="a8">
    <w:name w:val="כותרת תחתונה תו"/>
    <w:basedOn w:val="a0"/>
    <w:link w:val="a7"/>
    <w:uiPriority w:val="99"/>
    <w:rsid w:val="00993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1104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FE37A1-2C13-4D47-8C71-D03BC8175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2</Pages>
  <Words>711</Words>
  <Characters>3557</Characters>
  <Application>Microsoft Office Word</Application>
  <DocSecurity>0</DocSecurity>
  <Lines>29</Lines>
  <Paragraphs>8</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4260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ורדה פלאוט</dc:creator>
  <cp:keywords/>
  <dc:description/>
  <cp:lastModifiedBy>רותם כהן</cp:lastModifiedBy>
  <cp:revision>3</cp:revision>
  <cp:lastPrinted>2023-08-03T07:29:00Z</cp:lastPrinted>
  <dcterms:created xsi:type="dcterms:W3CDTF">2023-08-06T07:32:00Z</dcterms:created>
  <dcterms:modified xsi:type="dcterms:W3CDTF">2023-08-06T08:44:00Z</dcterms:modified>
</cp:coreProperties>
</file>